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04BF" w14:textId="77777777" w:rsidR="00955278" w:rsidRDefault="00955278" w:rsidP="00955278">
      <w:pPr>
        <w:jc w:val="center"/>
        <w:rPr>
          <w:b/>
          <w:bCs/>
        </w:rPr>
      </w:pPr>
      <w:r>
        <w:rPr>
          <w:b/>
          <w:bCs/>
        </w:rPr>
        <w:t xml:space="preserve">JOINT </w:t>
      </w:r>
      <w:r w:rsidRPr="008732F4">
        <w:rPr>
          <w:b/>
          <w:bCs/>
        </w:rPr>
        <w:t xml:space="preserve">INITIAL STATUS REPORT </w:t>
      </w:r>
    </w:p>
    <w:p w14:paraId="1985D3FA" w14:textId="77777777" w:rsidR="00955278" w:rsidRDefault="00955278" w:rsidP="00955278">
      <w:pPr>
        <w:ind w:firstLine="360"/>
      </w:pPr>
      <w:r w:rsidRPr="008732F4">
        <w:t xml:space="preserve">This case has been assigned to the calendar of Judge </w:t>
      </w:r>
      <w:r>
        <w:t>April M. Perry</w:t>
      </w:r>
      <w:r w:rsidRPr="008732F4">
        <w:t xml:space="preserve">. The parties are directed to meet pursuant to Federal Rule of Civil Procedure 26(f) and conduct a planning conference. At least 7 days prior to the initial status in this case, please file a </w:t>
      </w:r>
      <w:r>
        <w:t>J</w:t>
      </w:r>
      <w:r w:rsidRPr="008732F4">
        <w:t xml:space="preserve">oint Initial Status Report, containing the following information: </w:t>
      </w:r>
    </w:p>
    <w:p w14:paraId="3E21E753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The Nature of the Case</w:t>
      </w:r>
      <w:r>
        <w:t>:</w:t>
      </w:r>
    </w:p>
    <w:p w14:paraId="35B43C43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Identify (names and contact information) all attorneys of record for each </w:t>
      </w:r>
      <w:proofErr w:type="gramStart"/>
      <w:r w:rsidRPr="008732F4">
        <w:t>party</w:t>
      </w:r>
      <w:r>
        <w:t>;</w:t>
      </w:r>
      <w:proofErr w:type="gramEnd"/>
      <w:r w:rsidRPr="008732F4">
        <w:t xml:space="preserve"> </w:t>
      </w:r>
    </w:p>
    <w:p w14:paraId="5E789966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Briefly describe the nature of the claims asserted in the complaint and any counterclaims and/or third party </w:t>
      </w:r>
      <w:proofErr w:type="gramStart"/>
      <w:r w:rsidRPr="008732F4">
        <w:t>claims</w:t>
      </w:r>
      <w:r>
        <w:t>;</w:t>
      </w:r>
      <w:proofErr w:type="gramEnd"/>
    </w:p>
    <w:p w14:paraId="53A1CDB2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>Briefly identify the major legal and factual issues in the case</w:t>
      </w:r>
      <w:r>
        <w:t>; and</w:t>
      </w:r>
    </w:p>
    <w:p w14:paraId="015D183C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State the relief sought by any of the parties. </w:t>
      </w:r>
    </w:p>
    <w:p w14:paraId="6B775EDB" w14:textId="77777777" w:rsidR="00955278" w:rsidRDefault="00955278" w:rsidP="00955278">
      <w:pPr>
        <w:pStyle w:val="ListParagraph"/>
        <w:ind w:left="1440"/>
      </w:pPr>
    </w:p>
    <w:p w14:paraId="5D7EE614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Jurisdiction</w:t>
      </w:r>
      <w:r w:rsidRPr="008732F4">
        <w:t>: Explain why the Court has subject matter jurisdiction over the plaintiff(s)’ claim(s).</w:t>
      </w:r>
    </w:p>
    <w:p w14:paraId="684D6FA5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Identify all federal statutes on which federal question jurisdiction is </w:t>
      </w:r>
      <w:proofErr w:type="gramStart"/>
      <w:r w:rsidRPr="008732F4">
        <w:t>based</w:t>
      </w:r>
      <w:r>
        <w:t>;</w:t>
      </w:r>
      <w:proofErr w:type="gramEnd"/>
    </w:p>
    <w:p w14:paraId="7DC0F9BC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If jurisdiction over any claim is based on diversity or supplemental jurisdiction: </w:t>
      </w:r>
    </w:p>
    <w:p w14:paraId="6F39979B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>State whether/why the amount in controversy exceeds the jurisdictional threshold or whether there is a dispute regarding the amount in controversy (and, if so, the basis of that dispute</w:t>
      </w:r>
      <w:proofErr w:type="gramStart"/>
      <w:r w:rsidRPr="008732F4">
        <w:t>)</w:t>
      </w:r>
      <w:r>
        <w:t>;</w:t>
      </w:r>
      <w:proofErr w:type="gramEnd"/>
    </w:p>
    <w:p w14:paraId="0F7A0E52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>Identify the state of citizenship of each named party. For unincorporated associations, LLCs, partnerships, and other business entities that are not corporations, the state(s) in which any individual</w:t>
      </w:r>
      <w:r>
        <w:t xml:space="preserve"> </w:t>
      </w:r>
      <w:r w:rsidRPr="008732F4">
        <w:t xml:space="preserve">members of the business unit are citizens must be identified. </w:t>
      </w:r>
      <w:r>
        <w:t>Note that i</w:t>
      </w:r>
      <w:r w:rsidRPr="008732F4">
        <w:t>ndividuals are citizens of the state where they are domiciled</w:t>
      </w:r>
      <w:r>
        <w:t xml:space="preserve"> which </w:t>
      </w:r>
      <w:r w:rsidRPr="008732F4">
        <w:t xml:space="preserve">may or may not be the state where they currently reside. </w:t>
      </w:r>
      <w:r w:rsidRPr="008732F4">
        <w:rPr>
          <w:i/>
          <w:iCs/>
        </w:rPr>
        <w:t>See Heinen v. Northrop Grumman Corp.</w:t>
      </w:r>
      <w:r w:rsidRPr="008732F4">
        <w:t xml:space="preserve">, 671 F.3d 669, 670 (7th Cir. 2012). </w:t>
      </w:r>
    </w:p>
    <w:p w14:paraId="588420C0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A supplement to the statement of the basis for federal jurisdiction shall be filed within 14 days of any change in the information provided in the Initial Status Report. </w:t>
      </w:r>
    </w:p>
    <w:p w14:paraId="5FE95218" w14:textId="77777777" w:rsidR="00955278" w:rsidRDefault="00955278" w:rsidP="00955278">
      <w:pPr>
        <w:pStyle w:val="ListParagraph"/>
        <w:ind w:left="2160"/>
      </w:pPr>
    </w:p>
    <w:p w14:paraId="14FF5596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Status of Service</w:t>
      </w:r>
      <w:r w:rsidRPr="008732F4">
        <w:t>: Identify any defendants that have not been served</w:t>
      </w:r>
      <w:r>
        <w:t>.</w:t>
      </w:r>
    </w:p>
    <w:p w14:paraId="2283206E" w14:textId="77777777" w:rsidR="00955278" w:rsidRDefault="00955278" w:rsidP="00955278">
      <w:pPr>
        <w:pStyle w:val="ListParagraph"/>
      </w:pPr>
    </w:p>
    <w:p w14:paraId="1B7FD3A3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Consent to Proceed Before a United States Magistrate Judge</w:t>
      </w:r>
      <w:r w:rsidRPr="008732F4">
        <w:t xml:space="preserve">: Confirm that counsel have advised the parties that they may proceed before a Magistrate Judge if </w:t>
      </w:r>
      <w:r w:rsidRPr="008732F4">
        <w:lastRenderedPageBreak/>
        <w:t xml:space="preserve">they consent unanimously and advise whether there is, or is not, unanimous consent. </w:t>
      </w:r>
    </w:p>
    <w:p w14:paraId="11E6C61F" w14:textId="77777777" w:rsidR="00955278" w:rsidRDefault="00955278" w:rsidP="00955278">
      <w:pPr>
        <w:pStyle w:val="ListParagraph"/>
      </w:pPr>
    </w:p>
    <w:p w14:paraId="5D4B45B0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Motions</w:t>
      </w:r>
      <w:r w:rsidRPr="008732F4">
        <w:t xml:space="preserve">: </w:t>
      </w:r>
    </w:p>
    <w:p w14:paraId="2BBD5425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Briefly describe any pending motions. </w:t>
      </w:r>
    </w:p>
    <w:p w14:paraId="1951D5CD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State whether the defendant(s) anticipate responding to the complaint by filing an Answer or by means of motion. </w:t>
      </w:r>
    </w:p>
    <w:p w14:paraId="7383E273" w14:textId="77777777" w:rsidR="00955278" w:rsidRDefault="00955278" w:rsidP="00955278">
      <w:pPr>
        <w:pStyle w:val="ListParagraph"/>
        <w:ind w:left="1440"/>
      </w:pPr>
    </w:p>
    <w:p w14:paraId="259352D6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Case Plan</w:t>
      </w:r>
      <w:r w:rsidRPr="008732F4">
        <w:t xml:space="preserve">: </w:t>
      </w:r>
    </w:p>
    <w:p w14:paraId="1FDD955D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>Submit a proposal for a discovery plan, including the following information</w:t>
      </w:r>
      <w:r>
        <w:t>:</w:t>
      </w:r>
    </w:p>
    <w:p w14:paraId="12B7DE6A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 The general type of discovery </w:t>
      </w:r>
      <w:proofErr w:type="gramStart"/>
      <w:r w:rsidRPr="008732F4">
        <w:t>needed</w:t>
      </w:r>
      <w:r>
        <w:t>;</w:t>
      </w:r>
      <w:proofErr w:type="gramEnd"/>
    </w:p>
    <w:p w14:paraId="32DC42E1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A date for Rule 26(a)(1) </w:t>
      </w:r>
      <w:proofErr w:type="gramStart"/>
      <w:r w:rsidRPr="008732F4">
        <w:t>disclosures</w:t>
      </w:r>
      <w:r>
        <w:t>;</w:t>
      </w:r>
      <w:proofErr w:type="gramEnd"/>
    </w:p>
    <w:p w14:paraId="46FE7852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First date by which to issue written </w:t>
      </w:r>
      <w:proofErr w:type="gramStart"/>
      <w:r w:rsidRPr="008732F4">
        <w:t>discovery</w:t>
      </w:r>
      <w:r>
        <w:t>;</w:t>
      </w:r>
      <w:proofErr w:type="gramEnd"/>
    </w:p>
    <w:p w14:paraId="2B5ABFAD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A fact discovery completion </w:t>
      </w:r>
      <w:proofErr w:type="gramStart"/>
      <w:r w:rsidRPr="008732F4">
        <w:t>date;</w:t>
      </w:r>
      <w:proofErr w:type="gramEnd"/>
      <w:r w:rsidRPr="008732F4">
        <w:t xml:space="preserve"> </w:t>
      </w:r>
    </w:p>
    <w:p w14:paraId="53781A2D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An expert discovery completion date, including dates for the delivery of expert reports; and </w:t>
      </w:r>
    </w:p>
    <w:p w14:paraId="41911161" w14:textId="77777777" w:rsidR="00955278" w:rsidRDefault="00955278" w:rsidP="00955278">
      <w:pPr>
        <w:pStyle w:val="ListParagraph"/>
        <w:numPr>
          <w:ilvl w:val="2"/>
          <w:numId w:val="1"/>
        </w:numPr>
      </w:pPr>
      <w:r w:rsidRPr="008732F4">
        <w:t xml:space="preserve">A date for the filing of dispositive motions. </w:t>
      </w:r>
    </w:p>
    <w:p w14:paraId="755498B1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With respect to trial, indicate the following: </w:t>
      </w:r>
    </w:p>
    <w:p w14:paraId="4972B211" w14:textId="77777777" w:rsidR="00955278" w:rsidRDefault="00955278" w:rsidP="00955278">
      <w:pPr>
        <w:pStyle w:val="ListParagraph"/>
        <w:numPr>
          <w:ilvl w:val="2"/>
          <w:numId w:val="1"/>
        </w:numPr>
      </w:pPr>
      <w:r>
        <w:t>W</w:t>
      </w:r>
      <w:r w:rsidRPr="008732F4">
        <w:t xml:space="preserve">hether a jury trial is requested; and </w:t>
      </w:r>
    </w:p>
    <w:p w14:paraId="50260214" w14:textId="77777777" w:rsidR="00955278" w:rsidRDefault="00955278" w:rsidP="00955278">
      <w:pPr>
        <w:pStyle w:val="ListParagraph"/>
        <w:numPr>
          <w:ilvl w:val="2"/>
          <w:numId w:val="1"/>
        </w:numPr>
      </w:pPr>
      <w:r>
        <w:t>T</w:t>
      </w:r>
      <w:r w:rsidRPr="008732F4">
        <w:t>he probable length of trial.</w:t>
      </w:r>
    </w:p>
    <w:p w14:paraId="5D2A932E" w14:textId="77777777" w:rsidR="00955278" w:rsidRDefault="00955278" w:rsidP="00955278">
      <w:pPr>
        <w:pStyle w:val="ListParagraph"/>
        <w:ind w:left="2160"/>
      </w:pPr>
    </w:p>
    <w:p w14:paraId="455D245A" w14:textId="77777777" w:rsidR="00955278" w:rsidRDefault="00955278" w:rsidP="00955278">
      <w:pPr>
        <w:pStyle w:val="ListParagraph"/>
        <w:numPr>
          <w:ilvl w:val="0"/>
          <w:numId w:val="1"/>
        </w:numPr>
      </w:pPr>
      <w:r w:rsidRPr="008F33C1">
        <w:rPr>
          <w:b/>
          <w:bCs/>
        </w:rPr>
        <w:t>Status of Settlement Discussions</w:t>
      </w:r>
      <w:r w:rsidRPr="008732F4">
        <w:t xml:space="preserve">: </w:t>
      </w:r>
    </w:p>
    <w:p w14:paraId="214865F7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Indicate whether any settlement discussions have </w:t>
      </w:r>
      <w:proofErr w:type="gramStart"/>
      <w:r w:rsidRPr="008732F4">
        <w:t>occurred;</w:t>
      </w:r>
      <w:proofErr w:type="gramEnd"/>
      <w:r w:rsidRPr="008732F4">
        <w:t xml:space="preserve"> </w:t>
      </w:r>
    </w:p>
    <w:p w14:paraId="717C8354" w14:textId="77777777" w:rsidR="00955278" w:rsidRDefault="00955278" w:rsidP="00955278">
      <w:pPr>
        <w:pStyle w:val="ListParagraph"/>
        <w:numPr>
          <w:ilvl w:val="1"/>
          <w:numId w:val="1"/>
        </w:numPr>
      </w:pPr>
      <w:r w:rsidRPr="008732F4">
        <w:t xml:space="preserve">Describe the status of any settlement discussions; and </w:t>
      </w:r>
    </w:p>
    <w:p w14:paraId="50C71C1C" w14:textId="77777777" w:rsidR="00955278" w:rsidRDefault="00955278" w:rsidP="00955278">
      <w:pPr>
        <w:pStyle w:val="ListParagraph"/>
        <w:numPr>
          <w:ilvl w:val="1"/>
          <w:numId w:val="1"/>
        </w:numPr>
      </w:pPr>
      <w:r>
        <w:t>Indicate w</w:t>
      </w:r>
      <w:r w:rsidRPr="008732F4">
        <w:t>hether the parties request a settlement conference.</w:t>
      </w:r>
    </w:p>
    <w:p w14:paraId="5C6B83F5" w14:textId="77777777" w:rsidR="00D437EE" w:rsidRDefault="00D437EE"/>
    <w:sectPr w:rsidR="00D43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7044"/>
    <w:multiLevelType w:val="hybridMultilevel"/>
    <w:tmpl w:val="6A96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8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8"/>
    <w:rsid w:val="00052980"/>
    <w:rsid w:val="00273923"/>
    <w:rsid w:val="004D2F37"/>
    <w:rsid w:val="00955278"/>
    <w:rsid w:val="00D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A831"/>
  <w15:chartTrackingRefBased/>
  <w15:docId w15:val="{047B61ED-AA93-4F6E-B097-563F21B6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78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Seolhyeong Dayagdag</dc:creator>
  <cp:keywords/>
  <dc:description/>
  <cp:lastModifiedBy>Seolhyeong Dayagdag</cp:lastModifiedBy>
  <cp:revision>1</cp:revision>
  <dcterms:created xsi:type="dcterms:W3CDTF">2024-11-21T14:57:00Z</dcterms:created>
  <dcterms:modified xsi:type="dcterms:W3CDTF">2024-11-21T14:59:00Z</dcterms:modified>
</cp:coreProperties>
</file>