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EF69D" w14:textId="5FCE9455" w:rsidR="00602426" w:rsidRPr="00FC6F91" w:rsidRDefault="0065627F">
      <w:pPr>
        <w:spacing w:after="100" w:line="259" w:lineRule="auto"/>
        <w:ind w:left="0" w:right="13" w:firstLine="0"/>
        <w:jc w:val="center"/>
        <w:rPr>
          <w:color w:val="auto"/>
        </w:rPr>
      </w:pPr>
      <w:r>
        <w:rPr>
          <w:b/>
          <w:color w:val="auto"/>
        </w:rPr>
        <w:t xml:space="preserve">JOINT </w:t>
      </w:r>
      <w:r w:rsidR="009C6D3C" w:rsidRPr="00FC6F91">
        <w:rPr>
          <w:b/>
          <w:color w:val="auto"/>
        </w:rPr>
        <w:t xml:space="preserve">INITIAL STATUS REPORT </w:t>
      </w:r>
      <w:r>
        <w:rPr>
          <w:b/>
          <w:color w:val="auto"/>
        </w:rPr>
        <w:t>UNDER RULE 26(f)</w:t>
      </w:r>
      <w:r w:rsidR="009C6D3C" w:rsidRPr="00FC6F91">
        <w:rPr>
          <w:b/>
          <w:color w:val="auto"/>
        </w:rPr>
        <w:t xml:space="preserve"> </w:t>
      </w:r>
    </w:p>
    <w:p w14:paraId="25FB6C9D" w14:textId="3498926E" w:rsidR="00FC6F91" w:rsidRPr="00FC6F91" w:rsidRDefault="009C6D3C">
      <w:pPr>
        <w:spacing w:after="225"/>
        <w:ind w:left="0" w:right="4" w:firstLine="720"/>
        <w:rPr>
          <w:color w:val="auto"/>
        </w:rPr>
      </w:pPr>
      <w:r w:rsidRPr="00FC6F91">
        <w:rPr>
          <w:color w:val="auto"/>
        </w:rPr>
        <w:t xml:space="preserve">This case has been assigned to the calendar of Judge </w:t>
      </w:r>
      <w:r w:rsidR="0065627F">
        <w:rPr>
          <w:color w:val="auto"/>
        </w:rPr>
        <w:t>Sunil R. Harjani</w:t>
      </w:r>
      <w:r w:rsidR="00FC6F91" w:rsidRPr="00FC6F91">
        <w:rPr>
          <w:color w:val="auto"/>
        </w:rPr>
        <w:t xml:space="preserve">.  </w:t>
      </w:r>
      <w:r w:rsidRPr="00FC6F91">
        <w:rPr>
          <w:color w:val="auto"/>
        </w:rPr>
        <w:t>The parties are directed to meet pursuant to Federal Rule of Civil Procedure 26(f) and conduct a planning conference.</w:t>
      </w:r>
      <w:r w:rsidR="00FC6F91" w:rsidRPr="00FC6F91">
        <w:rPr>
          <w:color w:val="auto"/>
        </w:rPr>
        <w:t xml:space="preserve">  </w:t>
      </w:r>
      <w:r w:rsidRPr="00FC6F91">
        <w:rPr>
          <w:color w:val="auto"/>
        </w:rPr>
        <w:t xml:space="preserve">At least </w:t>
      </w:r>
      <w:r w:rsidR="0065627F">
        <w:rPr>
          <w:b/>
          <w:bCs/>
          <w:color w:val="auto"/>
          <w:u w:val="single"/>
        </w:rPr>
        <w:t xml:space="preserve">seven </w:t>
      </w:r>
      <w:r w:rsidR="00FC6F91" w:rsidRPr="00FC6F91">
        <w:rPr>
          <w:b/>
          <w:bCs/>
          <w:color w:val="auto"/>
          <w:u w:val="single"/>
        </w:rPr>
        <w:t>days</w:t>
      </w:r>
      <w:r w:rsidRPr="00FC6F91">
        <w:rPr>
          <w:color w:val="auto"/>
        </w:rPr>
        <w:t xml:space="preserve"> prior to the initial status </w:t>
      </w:r>
      <w:r w:rsidR="00BA0DC0">
        <w:rPr>
          <w:color w:val="auto"/>
        </w:rPr>
        <w:t xml:space="preserve">hearing </w:t>
      </w:r>
      <w:r w:rsidRPr="00FC6F91">
        <w:rPr>
          <w:color w:val="auto"/>
        </w:rPr>
        <w:t>in this case, please file a</w:t>
      </w:r>
      <w:r w:rsidRPr="00FC6F91">
        <w:rPr>
          <w:b/>
          <w:bCs/>
          <w:color w:val="auto"/>
        </w:rPr>
        <w:t xml:space="preserve"> </w:t>
      </w:r>
      <w:r w:rsidR="0065627F">
        <w:rPr>
          <w:b/>
          <w:bCs/>
          <w:color w:val="auto"/>
          <w:u w:val="single"/>
        </w:rPr>
        <w:t>J</w:t>
      </w:r>
      <w:r w:rsidRPr="00FC6F91">
        <w:rPr>
          <w:b/>
          <w:bCs/>
          <w:color w:val="auto"/>
          <w:u w:val="single"/>
        </w:rPr>
        <w:t>oint</w:t>
      </w:r>
      <w:r w:rsidRPr="00BA0DC0">
        <w:rPr>
          <w:color w:val="auto"/>
        </w:rPr>
        <w:t xml:space="preserve"> </w:t>
      </w:r>
      <w:r w:rsidRPr="00FC6F91">
        <w:rPr>
          <w:color w:val="auto"/>
        </w:rPr>
        <w:t xml:space="preserve">Initial Status Report </w:t>
      </w:r>
      <w:r w:rsidR="0065627F">
        <w:rPr>
          <w:color w:val="auto"/>
        </w:rPr>
        <w:t>Under Rule 26(f)</w:t>
      </w:r>
      <w:r w:rsidR="00FC6F91" w:rsidRPr="00FC6F91">
        <w:rPr>
          <w:color w:val="auto"/>
        </w:rPr>
        <w:t xml:space="preserve">, </w:t>
      </w:r>
      <w:r w:rsidR="00FC6F91" w:rsidRPr="00FC6F91">
        <w:rPr>
          <w:b/>
          <w:bCs/>
          <w:color w:val="auto"/>
          <w:u w:val="single"/>
        </w:rPr>
        <w:t>not to exceed five pages</w:t>
      </w:r>
      <w:r w:rsidR="00FC6F91" w:rsidRPr="00FC6F91">
        <w:rPr>
          <w:color w:val="auto"/>
        </w:rPr>
        <w:t>, containing the following information:</w:t>
      </w:r>
    </w:p>
    <w:p w14:paraId="2F11D5AF" w14:textId="4FDB332F" w:rsidR="00FC6F91" w:rsidRPr="00FC6F91" w:rsidRDefault="009C6D3C" w:rsidP="00FC6F91">
      <w:pPr>
        <w:spacing w:after="225"/>
        <w:ind w:right="4"/>
        <w:rPr>
          <w:b/>
          <w:color w:val="auto"/>
        </w:rPr>
      </w:pPr>
      <w:r w:rsidRPr="00FC6F91">
        <w:rPr>
          <w:b/>
          <w:color w:val="auto"/>
        </w:rPr>
        <w:t>I.</w:t>
      </w:r>
      <w:r w:rsidRPr="00FC6F91">
        <w:rPr>
          <w:rFonts w:ascii="Arial" w:eastAsia="Arial" w:hAnsi="Arial" w:cs="Arial"/>
          <w:b/>
          <w:color w:val="auto"/>
        </w:rPr>
        <w:t xml:space="preserve"> </w:t>
      </w:r>
      <w:r w:rsidR="00FC6F91" w:rsidRPr="00FC6F91">
        <w:rPr>
          <w:rFonts w:ascii="Arial" w:eastAsia="Arial" w:hAnsi="Arial" w:cs="Arial"/>
          <w:b/>
          <w:color w:val="auto"/>
        </w:rPr>
        <w:tab/>
      </w:r>
      <w:r w:rsidRPr="00FC6F91">
        <w:rPr>
          <w:b/>
          <w:color w:val="auto"/>
        </w:rPr>
        <w:t xml:space="preserve">The Nature of the Case: </w:t>
      </w:r>
    </w:p>
    <w:p w14:paraId="42518E50" w14:textId="77777777" w:rsidR="00FC6F91" w:rsidRPr="00FC6F91" w:rsidRDefault="00FC6F91" w:rsidP="00FC6F91">
      <w:pPr>
        <w:spacing w:after="225"/>
        <w:ind w:left="1440" w:right="4" w:hanging="720"/>
        <w:rPr>
          <w:color w:val="auto"/>
        </w:rPr>
      </w:pPr>
      <w:r w:rsidRPr="00FC6F91">
        <w:rPr>
          <w:color w:val="auto"/>
        </w:rPr>
        <w:t>A.</w:t>
      </w:r>
      <w:r w:rsidRPr="00FC6F91">
        <w:rPr>
          <w:color w:val="auto"/>
        </w:rPr>
        <w:tab/>
      </w:r>
      <w:r w:rsidR="009C6D3C" w:rsidRPr="00FC6F91">
        <w:rPr>
          <w:color w:val="auto"/>
        </w:rPr>
        <w:t xml:space="preserve">Identify (names and contact information) for all attorneys of record for each party, including the lead trial attorney. </w:t>
      </w:r>
    </w:p>
    <w:p w14:paraId="416C4874" w14:textId="77777777" w:rsidR="00FC6F91" w:rsidRPr="00FC6F91" w:rsidRDefault="00FC6F91" w:rsidP="00FC6F91">
      <w:pPr>
        <w:spacing w:after="225"/>
        <w:ind w:left="1440" w:right="4" w:hanging="720"/>
        <w:rPr>
          <w:color w:val="auto"/>
        </w:rPr>
      </w:pPr>
      <w:r w:rsidRPr="00FC6F91">
        <w:rPr>
          <w:color w:val="auto"/>
        </w:rPr>
        <w:t>B.</w:t>
      </w:r>
      <w:r w:rsidRPr="00FC6F91">
        <w:rPr>
          <w:color w:val="auto"/>
        </w:rPr>
        <w:tab/>
      </w:r>
      <w:r w:rsidR="009C6D3C" w:rsidRPr="00FC6F91">
        <w:rPr>
          <w:color w:val="auto"/>
        </w:rPr>
        <w:t xml:space="preserve">Briefly describe the nature of the claims asserted in the complaint and any counterclaims and/or third-party claims. </w:t>
      </w:r>
    </w:p>
    <w:p w14:paraId="67828246" w14:textId="77777777" w:rsidR="00FC6F91" w:rsidRPr="00FC6F91" w:rsidRDefault="00FC6F91" w:rsidP="00FC6F91">
      <w:pPr>
        <w:spacing w:after="225"/>
        <w:ind w:left="1440" w:right="4" w:hanging="720"/>
        <w:rPr>
          <w:color w:val="auto"/>
        </w:rPr>
      </w:pPr>
      <w:r w:rsidRPr="00FC6F91">
        <w:rPr>
          <w:color w:val="auto"/>
        </w:rPr>
        <w:t>C.</w:t>
      </w:r>
      <w:r w:rsidRPr="00FC6F91">
        <w:rPr>
          <w:color w:val="auto"/>
        </w:rPr>
        <w:tab/>
      </w:r>
      <w:r w:rsidR="009C6D3C" w:rsidRPr="00FC6F91">
        <w:rPr>
          <w:color w:val="auto"/>
        </w:rPr>
        <w:t xml:space="preserve">Briefly identify the major legal and factual issues in the case. </w:t>
      </w:r>
    </w:p>
    <w:p w14:paraId="4AEC147A" w14:textId="20AB5248" w:rsidR="00602426" w:rsidRPr="00FC6F91" w:rsidRDefault="00FC6F91" w:rsidP="00FC6F91">
      <w:pPr>
        <w:spacing w:after="225"/>
        <w:ind w:left="1440" w:right="4" w:hanging="720"/>
        <w:rPr>
          <w:color w:val="auto"/>
        </w:rPr>
      </w:pPr>
      <w:r w:rsidRPr="00FC6F91">
        <w:rPr>
          <w:color w:val="auto"/>
        </w:rPr>
        <w:t>D.</w:t>
      </w:r>
      <w:r w:rsidRPr="00FC6F91">
        <w:rPr>
          <w:color w:val="auto"/>
        </w:rPr>
        <w:tab/>
      </w:r>
      <w:r w:rsidR="009C6D3C" w:rsidRPr="00FC6F91">
        <w:rPr>
          <w:color w:val="auto"/>
        </w:rPr>
        <w:t xml:space="preserve">State the relief sought by any of the parties. </w:t>
      </w:r>
    </w:p>
    <w:p w14:paraId="45DAAD9C" w14:textId="77777777" w:rsidR="00FC6F91" w:rsidRPr="00FC6F91" w:rsidRDefault="00FC6F91" w:rsidP="005C2876">
      <w:pPr>
        <w:ind w:left="720" w:right="2" w:hanging="720"/>
        <w:rPr>
          <w:color w:val="auto"/>
        </w:rPr>
      </w:pPr>
      <w:r w:rsidRPr="00FC6F91">
        <w:rPr>
          <w:b/>
          <w:color w:val="auto"/>
        </w:rPr>
        <w:t>II.</w:t>
      </w:r>
      <w:r w:rsidRPr="00FC6F91">
        <w:rPr>
          <w:b/>
          <w:color w:val="auto"/>
        </w:rPr>
        <w:tab/>
      </w:r>
      <w:r w:rsidR="009C6D3C" w:rsidRPr="00FC6F91">
        <w:rPr>
          <w:b/>
          <w:color w:val="auto"/>
        </w:rPr>
        <w:t xml:space="preserve">Jurisdiction: </w:t>
      </w:r>
      <w:r w:rsidR="009C6D3C" w:rsidRPr="00FC6F91">
        <w:rPr>
          <w:color w:val="auto"/>
        </w:rPr>
        <w:t>Explain why the Court has subject matter jurisdiction over the plaintiff(s)’ claim(s).</w:t>
      </w:r>
      <w:r w:rsidR="009C6D3C" w:rsidRPr="00FC6F91">
        <w:rPr>
          <w:b/>
          <w:color w:val="auto"/>
        </w:rPr>
        <w:t xml:space="preserve"> </w:t>
      </w:r>
    </w:p>
    <w:p w14:paraId="1D437371" w14:textId="6B01FD08" w:rsidR="00602426" w:rsidRPr="00FC6F91" w:rsidRDefault="00FC6F91" w:rsidP="005C2876">
      <w:pPr>
        <w:ind w:left="0" w:right="2" w:firstLine="720"/>
        <w:rPr>
          <w:color w:val="auto"/>
        </w:rPr>
      </w:pPr>
      <w:r w:rsidRPr="00FC6F91">
        <w:rPr>
          <w:color w:val="auto"/>
        </w:rPr>
        <w:t>A.</w:t>
      </w:r>
      <w:r w:rsidRPr="00FC6F91">
        <w:rPr>
          <w:color w:val="auto"/>
        </w:rPr>
        <w:tab/>
      </w:r>
      <w:r w:rsidR="009C6D3C" w:rsidRPr="00FC6F91">
        <w:rPr>
          <w:color w:val="auto"/>
        </w:rPr>
        <w:t xml:space="preserve">Identify all federal statutes on which federal question jurisdiction is based. </w:t>
      </w:r>
    </w:p>
    <w:p w14:paraId="3FB076A4" w14:textId="0F097235" w:rsidR="00602426" w:rsidRPr="00FC6F91" w:rsidRDefault="00FC6F91" w:rsidP="00FC6F91">
      <w:pPr>
        <w:ind w:right="4" w:firstLine="710"/>
        <w:rPr>
          <w:color w:val="auto"/>
        </w:rPr>
      </w:pPr>
      <w:r w:rsidRPr="00FC6F91">
        <w:rPr>
          <w:color w:val="auto"/>
        </w:rPr>
        <w:t>B.</w:t>
      </w:r>
      <w:r w:rsidRPr="00FC6F91">
        <w:rPr>
          <w:color w:val="auto"/>
        </w:rPr>
        <w:tab/>
      </w:r>
      <w:r w:rsidR="009C6D3C" w:rsidRPr="00FC6F91">
        <w:rPr>
          <w:color w:val="auto"/>
        </w:rPr>
        <w:t xml:space="preserve">If jurisdiction over any claims is based on diversity or supplemental jurisdiction: </w:t>
      </w:r>
    </w:p>
    <w:p w14:paraId="6FC43B15" w14:textId="6D4BA678" w:rsidR="00602426" w:rsidRPr="00FC6F91" w:rsidRDefault="00FC6F91" w:rsidP="00FC6F91">
      <w:pPr>
        <w:ind w:left="2160" w:right="4" w:hanging="730"/>
        <w:rPr>
          <w:color w:val="auto"/>
        </w:rPr>
      </w:pPr>
      <w:r w:rsidRPr="00FC6F91">
        <w:rPr>
          <w:color w:val="auto"/>
        </w:rPr>
        <w:t>1.</w:t>
      </w:r>
      <w:r w:rsidRPr="00FC6F91">
        <w:rPr>
          <w:color w:val="auto"/>
        </w:rPr>
        <w:tab/>
      </w:r>
      <w:r w:rsidR="009C6D3C" w:rsidRPr="00FC6F91">
        <w:rPr>
          <w:color w:val="auto"/>
        </w:rPr>
        <w:t xml:space="preserve">State whether/why the amount in controversy exceeds the jurisdictional threshold or whether there is a dispute regarding the amount in controversy (and, if so, the basis of that dispute). </w:t>
      </w:r>
    </w:p>
    <w:p w14:paraId="561B75BC" w14:textId="00B707F8" w:rsidR="00602426" w:rsidRPr="00FC6F91" w:rsidRDefault="00FC6F91" w:rsidP="00FC6F91">
      <w:pPr>
        <w:ind w:left="2160" w:right="4" w:hanging="730"/>
        <w:rPr>
          <w:color w:val="auto"/>
        </w:rPr>
      </w:pPr>
      <w:r w:rsidRPr="00FC6F91">
        <w:rPr>
          <w:color w:val="auto"/>
        </w:rPr>
        <w:t>2.</w:t>
      </w:r>
      <w:r w:rsidRPr="00FC6F91">
        <w:rPr>
          <w:color w:val="auto"/>
        </w:rPr>
        <w:tab/>
      </w:r>
      <w:r w:rsidR="009C6D3C" w:rsidRPr="00FC6F91">
        <w:rPr>
          <w:color w:val="auto"/>
        </w:rPr>
        <w:t>Identify the state of citizenship of each named party.</w:t>
      </w:r>
    </w:p>
    <w:p w14:paraId="4D072E0A" w14:textId="1984CD03" w:rsidR="0065627F" w:rsidRPr="00FC6F91" w:rsidRDefault="009C6D3C" w:rsidP="00FC6F91">
      <w:pPr>
        <w:ind w:left="2150" w:right="4" w:firstLine="0"/>
        <w:rPr>
          <w:color w:val="auto"/>
        </w:rPr>
      </w:pPr>
      <w:r w:rsidRPr="00FC6F91">
        <w:rPr>
          <w:b/>
          <w:color w:val="auto"/>
        </w:rPr>
        <w:t>NOTE 1</w:t>
      </w:r>
      <w:r w:rsidRPr="00FC6F91">
        <w:rPr>
          <w:color w:val="auto"/>
        </w:rPr>
        <w:t xml:space="preserve">: Individuals are citizens of the state where they are domiciled; that may or may not be the state where they currently reside. </w:t>
      </w:r>
      <w:r w:rsidRPr="00640D25">
        <w:rPr>
          <w:i/>
          <w:iCs/>
          <w:color w:val="auto"/>
        </w:rPr>
        <w:t>See</w:t>
      </w:r>
      <w:r w:rsidRPr="00FC6F91">
        <w:rPr>
          <w:color w:val="auto"/>
        </w:rPr>
        <w:t xml:space="preserve"> </w:t>
      </w:r>
      <w:r w:rsidRPr="00BA0DC0">
        <w:rPr>
          <w:i/>
          <w:iCs/>
          <w:color w:val="auto"/>
        </w:rPr>
        <w:t>Heinen v. Northrop Grumman Corp.</w:t>
      </w:r>
      <w:r w:rsidRPr="00FC6F91">
        <w:rPr>
          <w:color w:val="auto"/>
        </w:rPr>
        <w:t>, 671 F.3d 669, 670 (7th Cir. 2012).</w:t>
      </w:r>
    </w:p>
    <w:p w14:paraId="530DF8C0" w14:textId="35CBB74A" w:rsidR="0065627F" w:rsidRPr="00FC6F91" w:rsidRDefault="009C6D3C" w:rsidP="0065627F">
      <w:pPr>
        <w:ind w:left="2150" w:right="4" w:firstLine="10"/>
        <w:rPr>
          <w:color w:val="auto"/>
        </w:rPr>
      </w:pPr>
      <w:r w:rsidRPr="00FC6F91">
        <w:rPr>
          <w:b/>
          <w:color w:val="auto"/>
        </w:rPr>
        <w:t>NOTE 2</w:t>
      </w:r>
      <w:r w:rsidRPr="00FC6F91">
        <w:rPr>
          <w:color w:val="auto"/>
        </w:rPr>
        <w:t>:</w:t>
      </w:r>
      <w:r w:rsidR="0065627F">
        <w:rPr>
          <w:color w:val="auto"/>
        </w:rPr>
        <w:t xml:space="preserve"> The citizenship of a corporation is its state of incorporation and its principal place of business, not its headquarters</w:t>
      </w:r>
      <w:r w:rsidRPr="00FC6F91">
        <w:rPr>
          <w:color w:val="auto"/>
        </w:rPr>
        <w:t>.</w:t>
      </w:r>
      <w:r w:rsidR="0065627F">
        <w:rPr>
          <w:color w:val="auto"/>
        </w:rPr>
        <w:t xml:space="preserve"> </w:t>
      </w:r>
      <w:r w:rsidR="0065627F">
        <w:rPr>
          <w:i/>
          <w:iCs/>
          <w:color w:val="auto"/>
        </w:rPr>
        <w:t>Dalton v. Teva North America</w:t>
      </w:r>
      <w:r w:rsidR="0065627F">
        <w:rPr>
          <w:color w:val="auto"/>
        </w:rPr>
        <w:t>, 891 F.3d 687, 690 (7</w:t>
      </w:r>
      <w:r w:rsidR="0065627F" w:rsidRPr="0065627F">
        <w:rPr>
          <w:color w:val="auto"/>
        </w:rPr>
        <w:t>th</w:t>
      </w:r>
      <w:r w:rsidR="0065627F">
        <w:rPr>
          <w:color w:val="auto"/>
        </w:rPr>
        <w:t xml:space="preserve"> Cir. 2018).</w:t>
      </w:r>
    </w:p>
    <w:p w14:paraId="6AD7005E" w14:textId="48319A24" w:rsidR="00BA0DC0" w:rsidRPr="00DA7E90" w:rsidRDefault="0065627F" w:rsidP="00DA7E90">
      <w:pPr>
        <w:ind w:left="2150" w:right="4" w:firstLine="10"/>
        <w:rPr>
          <w:color w:val="auto"/>
        </w:rPr>
      </w:pPr>
      <w:r w:rsidRPr="00FC6F91">
        <w:rPr>
          <w:b/>
          <w:color w:val="auto"/>
        </w:rPr>
        <w:t xml:space="preserve">NOTE </w:t>
      </w:r>
      <w:r>
        <w:rPr>
          <w:b/>
          <w:color w:val="auto"/>
        </w:rPr>
        <w:t>3</w:t>
      </w:r>
      <w:r w:rsidRPr="00FC6F91">
        <w:rPr>
          <w:color w:val="auto"/>
        </w:rPr>
        <w:t>:</w:t>
      </w:r>
      <w:r>
        <w:rPr>
          <w:color w:val="auto"/>
        </w:rPr>
        <w:t xml:space="preserve"> For unincorporated associations, LLCs, partnerships, </w:t>
      </w:r>
      <w:r w:rsidR="007C0A0A">
        <w:rPr>
          <w:color w:val="auto"/>
        </w:rPr>
        <w:t xml:space="preserve">underwriting syndicates, </w:t>
      </w:r>
      <w:r>
        <w:rPr>
          <w:color w:val="auto"/>
        </w:rPr>
        <w:t xml:space="preserve">and other business entities that are not corporations, identify the name and domicile(s) of </w:t>
      </w:r>
      <w:proofErr w:type="gramStart"/>
      <w:r>
        <w:rPr>
          <w:color w:val="auto"/>
        </w:rPr>
        <w:t>each and every</w:t>
      </w:r>
      <w:proofErr w:type="gramEnd"/>
      <w:r>
        <w:rPr>
          <w:color w:val="auto"/>
        </w:rPr>
        <w:t xml:space="preserve"> partner/member of each such entity</w:t>
      </w:r>
      <w:r w:rsidRPr="00FC6F91">
        <w:rPr>
          <w:color w:val="auto"/>
        </w:rPr>
        <w:t>.</w:t>
      </w:r>
      <w:r>
        <w:rPr>
          <w:color w:val="auto"/>
        </w:rPr>
        <w:t xml:space="preserve"> </w:t>
      </w:r>
      <w:r w:rsidRPr="00422872">
        <w:rPr>
          <w:i/>
          <w:color w:val="000000" w:themeColor="text1"/>
        </w:rPr>
        <w:t>See Belleville Catering Co. v. Champaign Market Place LLC</w:t>
      </w:r>
      <w:r w:rsidRPr="00422872">
        <w:rPr>
          <w:color w:val="000000" w:themeColor="text1"/>
        </w:rPr>
        <w:t>, 350 F.3d 691 (7th Cir. 2003);</w:t>
      </w:r>
      <w:r w:rsidRPr="00422872">
        <w:rPr>
          <w:i/>
          <w:color w:val="000000" w:themeColor="text1"/>
        </w:rPr>
        <w:t xml:space="preserve"> Cosgrove v. Bartolotta</w:t>
      </w:r>
      <w:r w:rsidRPr="00422872">
        <w:rPr>
          <w:color w:val="000000" w:themeColor="text1"/>
        </w:rPr>
        <w:t>, 150 F.3d 729 (7th Cir. 1998);</w:t>
      </w:r>
      <w:r w:rsidR="0082051B">
        <w:rPr>
          <w:color w:val="000000" w:themeColor="text1"/>
        </w:rPr>
        <w:t xml:space="preserve"> </w:t>
      </w:r>
      <w:r w:rsidR="0082051B">
        <w:rPr>
          <w:i/>
          <w:iCs/>
          <w:color w:val="000000" w:themeColor="text1"/>
        </w:rPr>
        <w:t xml:space="preserve">Indiana Gas Co., Inc. v. Home Ins. </w:t>
      </w:r>
      <w:r w:rsidR="0082051B">
        <w:rPr>
          <w:i/>
          <w:iCs/>
          <w:color w:val="000000" w:themeColor="text1"/>
        </w:rPr>
        <w:lastRenderedPageBreak/>
        <w:t>Co.</w:t>
      </w:r>
      <w:r w:rsidR="0082051B">
        <w:rPr>
          <w:color w:val="000000" w:themeColor="text1"/>
        </w:rPr>
        <w:t>, 141 F.3d 314, 316 (7</w:t>
      </w:r>
      <w:r w:rsidR="0082051B" w:rsidRPr="0082051B">
        <w:rPr>
          <w:color w:val="000000" w:themeColor="text1"/>
        </w:rPr>
        <w:t xml:space="preserve">th </w:t>
      </w:r>
      <w:r w:rsidR="0082051B">
        <w:rPr>
          <w:color w:val="000000" w:themeColor="text1"/>
        </w:rPr>
        <w:t>Cir. 1998);</w:t>
      </w:r>
      <w:r w:rsidRPr="00422872">
        <w:rPr>
          <w:color w:val="000000" w:themeColor="text1"/>
        </w:rPr>
        <w:t xml:space="preserve"> </w:t>
      </w:r>
      <w:r w:rsidRPr="00422872">
        <w:rPr>
          <w:i/>
          <w:color w:val="000000" w:themeColor="text1"/>
        </w:rPr>
        <w:t>Carden v. Arkoma Assoc.</w:t>
      </w:r>
      <w:r w:rsidRPr="00422872">
        <w:rPr>
          <w:color w:val="000000" w:themeColor="text1"/>
        </w:rPr>
        <w:t xml:space="preserve">, 494 U.S. 185 (7th Cir. 1990). </w:t>
      </w:r>
      <w:r>
        <w:rPr>
          <w:color w:val="000000" w:themeColor="text1"/>
        </w:rPr>
        <w:t xml:space="preserve"> </w:t>
      </w:r>
      <w:r w:rsidRPr="00422872">
        <w:rPr>
          <w:color w:val="000000" w:themeColor="text1"/>
        </w:rPr>
        <w:t xml:space="preserve">If any partners or members are themselves partnerships or LLCs, the rule </w:t>
      </w:r>
      <w:r>
        <w:rPr>
          <w:color w:val="000000" w:themeColor="text1"/>
        </w:rPr>
        <w:t xml:space="preserve">also </w:t>
      </w:r>
      <w:r w:rsidRPr="00422872">
        <w:rPr>
          <w:color w:val="000000" w:themeColor="text1"/>
        </w:rPr>
        <w:t>applies to their partners or members.</w:t>
      </w:r>
    </w:p>
    <w:p w14:paraId="7C49C823" w14:textId="2E1EB373" w:rsidR="00FC6F91" w:rsidRPr="00FC6F91" w:rsidRDefault="00FC6F91" w:rsidP="00FC6F91">
      <w:pPr>
        <w:ind w:left="720" w:hanging="720"/>
        <w:rPr>
          <w:b/>
          <w:color w:val="auto"/>
          <w:szCs w:val="24"/>
        </w:rPr>
      </w:pPr>
      <w:r w:rsidRPr="00FC6F91">
        <w:rPr>
          <w:b/>
          <w:color w:val="auto"/>
          <w:szCs w:val="24"/>
        </w:rPr>
        <w:t>III.</w:t>
      </w:r>
      <w:r w:rsidRPr="00FC6F91">
        <w:rPr>
          <w:b/>
          <w:color w:val="auto"/>
          <w:szCs w:val="24"/>
        </w:rPr>
        <w:tab/>
      </w:r>
      <w:r w:rsidR="009C6D3C" w:rsidRPr="00FC6F91">
        <w:rPr>
          <w:b/>
          <w:color w:val="auto"/>
          <w:szCs w:val="24"/>
        </w:rPr>
        <w:t xml:space="preserve">Status of Service: </w:t>
      </w:r>
      <w:r w:rsidR="009C6D3C" w:rsidRPr="00FC6F91">
        <w:rPr>
          <w:color w:val="auto"/>
          <w:szCs w:val="24"/>
        </w:rPr>
        <w:t>Identify any defendants that have not been served.</w:t>
      </w:r>
      <w:r w:rsidRPr="00FC6F91">
        <w:rPr>
          <w:b/>
          <w:color w:val="auto"/>
          <w:szCs w:val="24"/>
        </w:rPr>
        <w:t xml:space="preserve">  </w:t>
      </w:r>
      <w:r w:rsidRPr="00FC6F91">
        <w:rPr>
          <w:bCs/>
          <w:color w:val="auto"/>
          <w:szCs w:val="24"/>
        </w:rPr>
        <w:t>If plaintiff has failed to complete service of process on all defendants, then counsel must describe the efforts to perfect service to date, and provide an estimate for completion of service consistent with Federal Rule of Civil Procedure 4.</w:t>
      </w:r>
      <w:r w:rsidRPr="00FC6F91">
        <w:rPr>
          <w:b/>
          <w:color w:val="auto"/>
          <w:szCs w:val="24"/>
        </w:rPr>
        <w:t xml:space="preserve"> </w:t>
      </w:r>
    </w:p>
    <w:p w14:paraId="12BD87CF" w14:textId="52549E91" w:rsidR="00602426" w:rsidRPr="00FC6F91" w:rsidRDefault="00FC6F91" w:rsidP="00FC6F91">
      <w:pPr>
        <w:spacing w:after="247" w:line="259" w:lineRule="auto"/>
        <w:ind w:right="2"/>
        <w:jc w:val="left"/>
        <w:rPr>
          <w:color w:val="auto"/>
        </w:rPr>
      </w:pPr>
      <w:r w:rsidRPr="00FC6F91">
        <w:rPr>
          <w:b/>
          <w:color w:val="auto"/>
        </w:rPr>
        <w:t>IV.</w:t>
      </w:r>
      <w:r w:rsidRPr="00FC6F91">
        <w:rPr>
          <w:b/>
          <w:color w:val="auto"/>
        </w:rPr>
        <w:tab/>
      </w:r>
      <w:r w:rsidR="009C6D3C" w:rsidRPr="00FC6F91">
        <w:rPr>
          <w:b/>
          <w:color w:val="auto"/>
        </w:rPr>
        <w:t>Motions</w:t>
      </w:r>
      <w:r w:rsidR="009C6D3C" w:rsidRPr="005C2876">
        <w:rPr>
          <w:b/>
          <w:bCs/>
          <w:color w:val="auto"/>
        </w:rPr>
        <w:t>:</w:t>
      </w:r>
      <w:r w:rsidR="009C6D3C" w:rsidRPr="00FC6F91">
        <w:rPr>
          <w:b/>
          <w:color w:val="auto"/>
        </w:rPr>
        <w:t xml:space="preserve"> </w:t>
      </w:r>
    </w:p>
    <w:p w14:paraId="0C0FC15B" w14:textId="3DAAB9D0" w:rsidR="00602426" w:rsidRPr="00FC6F91" w:rsidRDefault="00FC6F91" w:rsidP="00FC6F91">
      <w:pPr>
        <w:ind w:right="4" w:firstLine="710"/>
        <w:rPr>
          <w:color w:val="auto"/>
        </w:rPr>
      </w:pPr>
      <w:r w:rsidRPr="00FC6F91">
        <w:rPr>
          <w:color w:val="auto"/>
        </w:rPr>
        <w:t>A.</w:t>
      </w:r>
      <w:r w:rsidRPr="00FC6F91">
        <w:rPr>
          <w:color w:val="auto"/>
        </w:rPr>
        <w:tab/>
      </w:r>
      <w:r w:rsidR="009C6D3C" w:rsidRPr="00FC6F91">
        <w:rPr>
          <w:color w:val="auto"/>
        </w:rPr>
        <w:t xml:space="preserve">Briefly describe any pending motions. </w:t>
      </w:r>
    </w:p>
    <w:p w14:paraId="53797987" w14:textId="5FB9C6CF" w:rsidR="00602426" w:rsidRPr="00FC6F91" w:rsidRDefault="00FC6F91" w:rsidP="00FC6F91">
      <w:pPr>
        <w:ind w:left="1440" w:right="4" w:hanging="720"/>
        <w:rPr>
          <w:color w:val="auto"/>
        </w:rPr>
      </w:pPr>
      <w:r w:rsidRPr="00FC6F91">
        <w:rPr>
          <w:color w:val="auto"/>
        </w:rPr>
        <w:t>B.</w:t>
      </w:r>
      <w:r w:rsidRPr="00FC6F91">
        <w:rPr>
          <w:color w:val="auto"/>
        </w:rPr>
        <w:tab/>
      </w:r>
      <w:r w:rsidR="009C6D3C" w:rsidRPr="00FC6F91">
        <w:rPr>
          <w:color w:val="auto"/>
        </w:rPr>
        <w:t xml:space="preserve">State whether the defendant(s) anticipate responding to the complaint by filing an </w:t>
      </w:r>
      <w:r w:rsidRPr="00FC6F91">
        <w:rPr>
          <w:color w:val="auto"/>
        </w:rPr>
        <w:t>a</w:t>
      </w:r>
      <w:r w:rsidR="009C6D3C" w:rsidRPr="00FC6F91">
        <w:rPr>
          <w:color w:val="auto"/>
        </w:rPr>
        <w:t xml:space="preserve">nswer or by means of </w:t>
      </w:r>
      <w:r w:rsidRPr="00FC6F91">
        <w:rPr>
          <w:color w:val="auto"/>
        </w:rPr>
        <w:t xml:space="preserve">a </w:t>
      </w:r>
      <w:r w:rsidR="009C6D3C" w:rsidRPr="00FC6F91">
        <w:rPr>
          <w:color w:val="auto"/>
        </w:rPr>
        <w:t xml:space="preserve">motion. </w:t>
      </w:r>
    </w:p>
    <w:p w14:paraId="76381618" w14:textId="281D50B6" w:rsidR="00602426" w:rsidRPr="00FC6F91" w:rsidRDefault="00FC6F91" w:rsidP="00FC6F91">
      <w:pPr>
        <w:spacing w:after="247" w:line="259" w:lineRule="auto"/>
        <w:ind w:right="2"/>
        <w:jc w:val="left"/>
        <w:rPr>
          <w:color w:val="auto"/>
        </w:rPr>
      </w:pPr>
      <w:r w:rsidRPr="00FC6F91">
        <w:rPr>
          <w:b/>
          <w:color w:val="auto"/>
        </w:rPr>
        <w:t>V.</w:t>
      </w:r>
      <w:r w:rsidRPr="00FC6F91">
        <w:rPr>
          <w:b/>
          <w:color w:val="auto"/>
        </w:rPr>
        <w:tab/>
      </w:r>
      <w:r w:rsidR="009C6D3C" w:rsidRPr="00FC6F91">
        <w:rPr>
          <w:b/>
          <w:color w:val="auto"/>
        </w:rPr>
        <w:t>Case Plan</w:t>
      </w:r>
      <w:r w:rsidR="009C6D3C" w:rsidRPr="005C2876">
        <w:rPr>
          <w:b/>
          <w:bCs/>
          <w:color w:val="auto"/>
        </w:rPr>
        <w:t>:</w:t>
      </w:r>
      <w:r w:rsidR="009C6D3C" w:rsidRPr="003D27FD">
        <w:rPr>
          <w:b/>
          <w:bCs/>
          <w:color w:val="auto"/>
        </w:rPr>
        <w:t xml:space="preserve"> </w:t>
      </w:r>
    </w:p>
    <w:p w14:paraId="60B47FB1" w14:textId="19EAFF93" w:rsidR="00602426" w:rsidRPr="00FC6F91" w:rsidRDefault="00FC6F91" w:rsidP="00FC6F91">
      <w:pPr>
        <w:spacing w:after="293"/>
        <w:ind w:right="4" w:firstLine="710"/>
        <w:rPr>
          <w:color w:val="auto"/>
        </w:rPr>
      </w:pPr>
      <w:r w:rsidRPr="00FC6F91">
        <w:rPr>
          <w:color w:val="auto"/>
        </w:rPr>
        <w:t>A.</w:t>
      </w:r>
      <w:r w:rsidRPr="00FC6F91">
        <w:rPr>
          <w:color w:val="auto"/>
        </w:rPr>
        <w:tab/>
      </w:r>
      <w:r w:rsidR="009C6D3C" w:rsidRPr="00FC6F91">
        <w:rPr>
          <w:color w:val="auto"/>
        </w:rPr>
        <w:t>Submit a proposal for a discovery plan, including the following information</w:t>
      </w:r>
      <w:r w:rsidR="009C6D3C" w:rsidRPr="00FC6F91">
        <w:rPr>
          <w:color w:val="auto"/>
          <w:vertAlign w:val="superscript"/>
        </w:rPr>
        <w:footnoteReference w:id="1"/>
      </w:r>
      <w:r w:rsidR="009C6D3C" w:rsidRPr="00FC6F91">
        <w:rPr>
          <w:color w:val="auto"/>
        </w:rPr>
        <w:t xml:space="preserve">: </w:t>
      </w:r>
    </w:p>
    <w:p w14:paraId="07939593" w14:textId="2B929D35" w:rsidR="00602426" w:rsidRPr="00FC6F91" w:rsidRDefault="00FC6F91" w:rsidP="00FC6F91">
      <w:pPr>
        <w:ind w:left="730" w:right="4" w:firstLine="710"/>
        <w:rPr>
          <w:color w:val="auto"/>
        </w:rPr>
      </w:pPr>
      <w:r w:rsidRPr="00FC6F91">
        <w:rPr>
          <w:color w:val="auto"/>
        </w:rPr>
        <w:t>1.</w:t>
      </w:r>
      <w:r w:rsidRPr="00FC6F91">
        <w:rPr>
          <w:color w:val="auto"/>
        </w:rPr>
        <w:tab/>
      </w:r>
      <w:r w:rsidR="009C6D3C" w:rsidRPr="00FC6F91">
        <w:rPr>
          <w:color w:val="auto"/>
        </w:rPr>
        <w:t xml:space="preserve">The general type of discovery needed; </w:t>
      </w:r>
    </w:p>
    <w:p w14:paraId="43DDEDF0" w14:textId="6F03E306" w:rsidR="00602426" w:rsidRPr="00FC6F91" w:rsidRDefault="00FC6F91" w:rsidP="00FC6F91">
      <w:pPr>
        <w:ind w:left="730" w:right="4" w:firstLine="710"/>
        <w:rPr>
          <w:color w:val="auto"/>
        </w:rPr>
      </w:pPr>
      <w:r w:rsidRPr="00FC6F91">
        <w:rPr>
          <w:color w:val="auto"/>
        </w:rPr>
        <w:t>2.</w:t>
      </w:r>
      <w:r w:rsidRPr="00FC6F91">
        <w:rPr>
          <w:color w:val="auto"/>
        </w:rPr>
        <w:tab/>
      </w:r>
      <w:r w:rsidR="009C6D3C" w:rsidRPr="00FC6F91">
        <w:rPr>
          <w:color w:val="auto"/>
        </w:rPr>
        <w:t xml:space="preserve">A date for Rule 26(a)(1) disclosures; </w:t>
      </w:r>
    </w:p>
    <w:p w14:paraId="33FDD93E" w14:textId="29E792BD" w:rsidR="00602426" w:rsidRPr="00FC6F91" w:rsidRDefault="00FC6F91" w:rsidP="00FC6F91">
      <w:pPr>
        <w:ind w:left="720" w:right="4" w:firstLine="720"/>
        <w:rPr>
          <w:color w:val="auto"/>
        </w:rPr>
      </w:pPr>
      <w:r w:rsidRPr="00FC6F91">
        <w:rPr>
          <w:color w:val="auto"/>
        </w:rPr>
        <w:t>3.</w:t>
      </w:r>
      <w:r w:rsidRPr="00FC6F91">
        <w:rPr>
          <w:color w:val="auto"/>
        </w:rPr>
        <w:tab/>
      </w:r>
      <w:r w:rsidR="00DA7E90">
        <w:rPr>
          <w:color w:val="auto"/>
        </w:rPr>
        <w:t>Deadline to amend pleadings and join parties</w:t>
      </w:r>
      <w:r w:rsidR="00DA7E90" w:rsidRPr="00FC6F91">
        <w:rPr>
          <w:color w:val="auto"/>
        </w:rPr>
        <w:t xml:space="preserve">; </w:t>
      </w:r>
    </w:p>
    <w:p w14:paraId="2C83FD2F" w14:textId="642EF290" w:rsidR="00602426" w:rsidRDefault="00FC6F91" w:rsidP="00FC6F91">
      <w:pPr>
        <w:ind w:left="720" w:right="4" w:firstLine="720"/>
        <w:rPr>
          <w:color w:val="auto"/>
        </w:rPr>
      </w:pPr>
      <w:r w:rsidRPr="00FC6F91">
        <w:rPr>
          <w:color w:val="auto"/>
        </w:rPr>
        <w:t>4.</w:t>
      </w:r>
      <w:r w:rsidRPr="00FC6F91">
        <w:rPr>
          <w:color w:val="auto"/>
        </w:rPr>
        <w:tab/>
      </w:r>
      <w:r w:rsidR="00DA7E90">
        <w:rPr>
          <w:color w:val="auto"/>
        </w:rPr>
        <w:t xml:space="preserve">A </w:t>
      </w:r>
      <w:r w:rsidR="00DA7E90" w:rsidRPr="00FC6F91">
        <w:rPr>
          <w:color w:val="auto"/>
        </w:rPr>
        <w:t xml:space="preserve">date </w:t>
      </w:r>
      <w:r w:rsidR="00DA7E90">
        <w:rPr>
          <w:color w:val="auto"/>
        </w:rPr>
        <w:t xml:space="preserve">to </w:t>
      </w:r>
      <w:r w:rsidR="00DA7E90" w:rsidRPr="00FC6F91">
        <w:rPr>
          <w:color w:val="auto"/>
        </w:rPr>
        <w:t xml:space="preserve">issue </w:t>
      </w:r>
      <w:r w:rsidR="00DA7E90">
        <w:rPr>
          <w:color w:val="auto"/>
        </w:rPr>
        <w:t xml:space="preserve">first-set of </w:t>
      </w:r>
      <w:r w:rsidR="00DA7E90" w:rsidRPr="00FC6F91">
        <w:rPr>
          <w:color w:val="auto"/>
        </w:rPr>
        <w:t>written discovery</w:t>
      </w:r>
      <w:r w:rsidR="00DA7E90">
        <w:rPr>
          <w:color w:val="auto"/>
        </w:rPr>
        <w:t xml:space="preserve"> requests</w:t>
      </w:r>
      <w:r w:rsidR="00DA7E90" w:rsidRPr="00FC6F91">
        <w:rPr>
          <w:color w:val="auto"/>
        </w:rPr>
        <w:t>;</w:t>
      </w:r>
    </w:p>
    <w:p w14:paraId="133E30C4" w14:textId="6684DD49" w:rsidR="006C01D1" w:rsidRDefault="00DA7E90" w:rsidP="00DA7E90">
      <w:pPr>
        <w:spacing w:after="0" w:line="240" w:lineRule="auto"/>
        <w:ind w:left="2160" w:right="4" w:hanging="720"/>
        <w:rPr>
          <w:color w:val="auto"/>
        </w:rPr>
      </w:pPr>
      <w:r>
        <w:rPr>
          <w:color w:val="auto"/>
        </w:rPr>
        <w:t>5</w:t>
      </w:r>
      <w:r w:rsidRPr="00FC6F91">
        <w:rPr>
          <w:color w:val="auto"/>
        </w:rPr>
        <w:t>.</w:t>
      </w:r>
      <w:r w:rsidRPr="00FC6F91">
        <w:rPr>
          <w:color w:val="auto"/>
        </w:rPr>
        <w:tab/>
      </w:r>
      <w:r>
        <w:rPr>
          <w:color w:val="auto"/>
        </w:rPr>
        <w:t xml:space="preserve">A date to issue notices of depositions </w:t>
      </w:r>
      <w:r w:rsidR="00890970">
        <w:rPr>
          <w:color w:val="auto"/>
        </w:rPr>
        <w:t xml:space="preserve">with agreed upon dates </w:t>
      </w:r>
      <w:r>
        <w:rPr>
          <w:color w:val="auto"/>
        </w:rPr>
        <w:t xml:space="preserve">and </w:t>
      </w:r>
      <w:r w:rsidR="00890970">
        <w:rPr>
          <w:color w:val="auto"/>
        </w:rPr>
        <w:t xml:space="preserve">Rule 45 </w:t>
      </w:r>
      <w:r>
        <w:rPr>
          <w:color w:val="auto"/>
        </w:rPr>
        <w:t>subpoenas;</w:t>
      </w:r>
    </w:p>
    <w:p w14:paraId="3C6E1210" w14:textId="77777777" w:rsidR="00DA7E90" w:rsidRPr="00FC6F91" w:rsidRDefault="00DA7E90" w:rsidP="00DA7E90">
      <w:pPr>
        <w:spacing w:after="0" w:line="240" w:lineRule="auto"/>
        <w:ind w:left="2160" w:right="4" w:hanging="720"/>
        <w:rPr>
          <w:color w:val="auto"/>
        </w:rPr>
      </w:pPr>
    </w:p>
    <w:p w14:paraId="696061A8" w14:textId="3C0FD17E" w:rsidR="00DA7E90" w:rsidRDefault="006C01D1" w:rsidP="00466093">
      <w:pPr>
        <w:spacing w:after="0" w:line="240" w:lineRule="auto"/>
        <w:ind w:left="2160" w:right="4" w:hanging="720"/>
        <w:rPr>
          <w:color w:val="auto"/>
        </w:rPr>
      </w:pPr>
      <w:r>
        <w:rPr>
          <w:color w:val="auto"/>
        </w:rPr>
        <w:t>6</w:t>
      </w:r>
      <w:r w:rsidR="00FC6F91" w:rsidRPr="00FC6F91">
        <w:rPr>
          <w:color w:val="auto"/>
        </w:rPr>
        <w:t>.</w:t>
      </w:r>
      <w:r w:rsidR="00FC6F91" w:rsidRPr="00FC6F91">
        <w:rPr>
          <w:color w:val="auto"/>
        </w:rPr>
        <w:tab/>
      </w:r>
      <w:r w:rsidR="00DA7E90">
        <w:rPr>
          <w:color w:val="auto"/>
        </w:rPr>
        <w:t>A fact discovery completion date.  For claims involving medical conditions, fact discovery ordinarily includes treating physician depositions; and</w:t>
      </w:r>
    </w:p>
    <w:p w14:paraId="657B3683" w14:textId="77777777" w:rsidR="00DA7E90" w:rsidRDefault="00DA7E90" w:rsidP="00466093">
      <w:pPr>
        <w:spacing w:after="0" w:line="240" w:lineRule="auto"/>
        <w:ind w:left="2160" w:right="4" w:hanging="720"/>
        <w:rPr>
          <w:color w:val="auto"/>
        </w:rPr>
      </w:pPr>
    </w:p>
    <w:p w14:paraId="04C1FAF7" w14:textId="5BB63612" w:rsidR="00DA7E90" w:rsidRDefault="00DA7E90" w:rsidP="00466093">
      <w:pPr>
        <w:spacing w:after="0" w:line="240" w:lineRule="auto"/>
        <w:ind w:left="2160" w:right="4" w:hanging="720"/>
        <w:rPr>
          <w:color w:val="auto"/>
        </w:rPr>
      </w:pPr>
      <w:r>
        <w:rPr>
          <w:color w:val="auto"/>
        </w:rPr>
        <w:t>7.</w:t>
      </w:r>
      <w:r>
        <w:rPr>
          <w:color w:val="auto"/>
        </w:rPr>
        <w:tab/>
        <w:t>Whether the parties anticipate expert discovery.</w:t>
      </w:r>
      <w:r w:rsidR="0027717F">
        <w:rPr>
          <w:color w:val="auto"/>
        </w:rPr>
        <w:t xml:space="preserve"> </w:t>
      </w:r>
      <w:r>
        <w:rPr>
          <w:color w:val="auto"/>
        </w:rPr>
        <w:t xml:space="preserve"> If there will be expert discovery, an expert discovery schedule will be set at a later time.</w:t>
      </w:r>
    </w:p>
    <w:p w14:paraId="4E52EC76" w14:textId="77777777" w:rsidR="00466093" w:rsidRPr="00FC6F91" w:rsidRDefault="00466093" w:rsidP="00466093">
      <w:pPr>
        <w:spacing w:after="0" w:line="240" w:lineRule="auto"/>
        <w:ind w:left="2160" w:right="4" w:hanging="720"/>
        <w:rPr>
          <w:color w:val="auto"/>
        </w:rPr>
      </w:pPr>
    </w:p>
    <w:p w14:paraId="5373C201" w14:textId="6807539D" w:rsidR="00DA7E90" w:rsidRDefault="00DA7E90" w:rsidP="00DA7E90">
      <w:pPr>
        <w:ind w:left="1440" w:right="4" w:hanging="720"/>
        <w:rPr>
          <w:color w:val="auto"/>
        </w:rPr>
      </w:pPr>
      <w:r w:rsidRPr="00FC6F91">
        <w:rPr>
          <w:color w:val="auto"/>
        </w:rPr>
        <w:t>B.</w:t>
      </w:r>
      <w:r w:rsidRPr="00FC6F91">
        <w:rPr>
          <w:color w:val="auto"/>
        </w:rPr>
        <w:tab/>
      </w:r>
      <w:r>
        <w:rPr>
          <w:color w:val="auto"/>
        </w:rPr>
        <w:t>If the parties require a protective order entered by the court during discovery, they shall follow the assigned magistrate judge’s procedures.</w:t>
      </w:r>
      <w:r w:rsidR="0027717F">
        <w:rPr>
          <w:color w:val="auto"/>
        </w:rPr>
        <w:t xml:space="preserve"> </w:t>
      </w:r>
      <w:r>
        <w:rPr>
          <w:color w:val="auto"/>
        </w:rPr>
        <w:t xml:space="preserve"> See also the </w:t>
      </w:r>
      <w:hyperlink r:id="rId7" w:history="1">
        <w:r w:rsidRPr="0027717F">
          <w:rPr>
            <w:rStyle w:val="Hyperlink"/>
          </w:rPr>
          <w:t>Model Confidentiality Order</w:t>
        </w:r>
      </w:hyperlink>
      <w:r>
        <w:rPr>
          <w:color w:val="auto"/>
        </w:rPr>
        <w:t xml:space="preserve"> developed by the Northern District of Illinois.</w:t>
      </w:r>
    </w:p>
    <w:p w14:paraId="77AE06AE" w14:textId="6C5E2162" w:rsidR="00DA7E90" w:rsidRPr="00DA7E90" w:rsidRDefault="00DA7E90" w:rsidP="00DA7E90">
      <w:pPr>
        <w:ind w:left="1440" w:right="4" w:hanging="720"/>
        <w:rPr>
          <w:color w:val="auto"/>
        </w:rPr>
      </w:pPr>
      <w:r>
        <w:rPr>
          <w:color w:val="auto"/>
        </w:rPr>
        <w:t>C</w:t>
      </w:r>
      <w:r w:rsidRPr="00FC6F91">
        <w:rPr>
          <w:color w:val="auto"/>
        </w:rPr>
        <w:t>.</w:t>
      </w:r>
      <w:r w:rsidRPr="00FC6F91">
        <w:rPr>
          <w:color w:val="auto"/>
        </w:rPr>
        <w:tab/>
      </w:r>
      <w:r>
        <w:rPr>
          <w:color w:val="auto"/>
        </w:rPr>
        <w:t xml:space="preserve">State whether the parties anticipate discovery of ESI in this case.  </w:t>
      </w:r>
      <w:r w:rsidR="00890970">
        <w:rPr>
          <w:color w:val="auto"/>
        </w:rPr>
        <w:t xml:space="preserve">The parties should consult the Court’s </w:t>
      </w:r>
      <w:hyperlink r:id="rId8" w:history="1">
        <w:r w:rsidR="00890970" w:rsidRPr="005C2876">
          <w:rPr>
            <w:rStyle w:val="Hyperlink"/>
          </w:rPr>
          <w:t xml:space="preserve">sample </w:t>
        </w:r>
        <w:r w:rsidR="00890970" w:rsidRPr="005C2876">
          <w:rPr>
            <w:rStyle w:val="Hyperlink"/>
            <w:szCs w:val="24"/>
          </w:rPr>
          <w:t>ESI order</w:t>
        </w:r>
      </w:hyperlink>
      <w:r w:rsidR="00890970" w:rsidRPr="00B775AE">
        <w:rPr>
          <w:color w:val="auto"/>
          <w:szCs w:val="24"/>
        </w:rPr>
        <w:t xml:space="preserve"> that can govern non-complex ESI discovery</w:t>
      </w:r>
      <w:r w:rsidR="00890970" w:rsidRPr="00B775AE">
        <w:rPr>
          <w:szCs w:val="24"/>
        </w:rPr>
        <w:t xml:space="preserve">.  </w:t>
      </w:r>
      <w:r w:rsidR="00890970">
        <w:rPr>
          <w:szCs w:val="24"/>
        </w:rPr>
        <w:t>F</w:t>
      </w:r>
      <w:r w:rsidR="00890970" w:rsidRPr="00B775AE">
        <w:rPr>
          <w:color w:val="333333"/>
          <w:szCs w:val="24"/>
          <w:shd w:val="clear" w:color="auto" w:fill="FFFFFF"/>
        </w:rPr>
        <w:t xml:space="preserve">or complex ESI discovery, including discovery that uses technology assisted </w:t>
      </w:r>
      <w:r w:rsidR="00890970" w:rsidRPr="00B775AE">
        <w:rPr>
          <w:color w:val="333333"/>
          <w:szCs w:val="24"/>
          <w:shd w:val="clear" w:color="auto" w:fill="FFFFFF"/>
        </w:rPr>
        <w:lastRenderedPageBreak/>
        <w:t xml:space="preserve">review (TAR), the </w:t>
      </w:r>
      <w:r w:rsidR="00890970">
        <w:rPr>
          <w:color w:val="333333"/>
          <w:szCs w:val="24"/>
          <w:shd w:val="clear" w:color="auto" w:fill="FFFFFF"/>
        </w:rPr>
        <w:t xml:space="preserve">parties should </w:t>
      </w:r>
      <w:r w:rsidR="00890970" w:rsidRPr="00B775AE">
        <w:rPr>
          <w:color w:val="333333"/>
          <w:szCs w:val="24"/>
          <w:shd w:val="clear" w:color="auto" w:fill="FFFFFF"/>
        </w:rPr>
        <w:t xml:space="preserve">consider </w:t>
      </w:r>
      <w:r w:rsidR="00890970">
        <w:rPr>
          <w:color w:val="333333"/>
          <w:szCs w:val="24"/>
          <w:shd w:val="clear" w:color="auto" w:fill="FFFFFF"/>
        </w:rPr>
        <w:t>submitting</w:t>
      </w:r>
      <w:r w:rsidR="00890970" w:rsidRPr="00B775AE">
        <w:rPr>
          <w:color w:val="333333"/>
          <w:szCs w:val="24"/>
          <w:shd w:val="clear" w:color="auto" w:fill="FFFFFF"/>
        </w:rPr>
        <w:t xml:space="preserve"> a more detailed proposed order</w:t>
      </w:r>
      <w:r w:rsidR="00890970">
        <w:rPr>
          <w:color w:val="333333"/>
          <w:szCs w:val="24"/>
          <w:shd w:val="clear" w:color="auto" w:fill="FFFFFF"/>
        </w:rPr>
        <w:t xml:space="preserve"> to the</w:t>
      </w:r>
      <w:r w:rsidR="001F381C">
        <w:rPr>
          <w:color w:val="333333"/>
          <w:szCs w:val="24"/>
          <w:shd w:val="clear" w:color="auto" w:fill="FFFFFF"/>
        </w:rPr>
        <w:t xml:space="preserve"> assigned</w:t>
      </w:r>
      <w:r w:rsidR="00890970">
        <w:rPr>
          <w:color w:val="333333"/>
          <w:szCs w:val="24"/>
          <w:shd w:val="clear" w:color="auto" w:fill="FFFFFF"/>
        </w:rPr>
        <w:t xml:space="preserve"> magistrate judge,</w:t>
      </w:r>
      <w:r w:rsidR="00890970" w:rsidRPr="00B775AE">
        <w:rPr>
          <w:color w:val="333333"/>
          <w:szCs w:val="24"/>
          <w:shd w:val="clear" w:color="auto" w:fill="FFFFFF"/>
        </w:rPr>
        <w:t xml:space="preserve"> with an accompanying motion.</w:t>
      </w:r>
      <w:r>
        <w:t xml:space="preserve">  In a patent case, the parties should be familiar with the </w:t>
      </w:r>
      <w:hyperlink r:id="rId9" w:history="1">
        <w:r w:rsidRPr="0027717F">
          <w:rPr>
            <w:rStyle w:val="Hyperlink"/>
          </w:rPr>
          <w:t>Local Patent Rules for Electronically Stored Information</w:t>
        </w:r>
      </w:hyperlink>
      <w:r>
        <w:t>.</w:t>
      </w:r>
    </w:p>
    <w:p w14:paraId="0DF71852" w14:textId="61A30A63" w:rsidR="00602426" w:rsidRPr="00FC6F91" w:rsidRDefault="00DA7E90" w:rsidP="00FC6F91">
      <w:pPr>
        <w:spacing w:after="0" w:line="473" w:lineRule="auto"/>
        <w:ind w:right="4" w:firstLine="710"/>
        <w:rPr>
          <w:color w:val="auto"/>
        </w:rPr>
      </w:pPr>
      <w:r>
        <w:rPr>
          <w:color w:val="auto"/>
        </w:rPr>
        <w:t>D</w:t>
      </w:r>
      <w:r w:rsidR="009C6D3C" w:rsidRPr="00FC6F91">
        <w:rPr>
          <w:color w:val="auto"/>
        </w:rPr>
        <w:t>.</w:t>
      </w:r>
      <w:r w:rsidR="009C6D3C" w:rsidRPr="00FC6F91">
        <w:rPr>
          <w:rFonts w:ascii="Arial" w:eastAsia="Arial" w:hAnsi="Arial" w:cs="Arial"/>
          <w:color w:val="auto"/>
        </w:rPr>
        <w:t xml:space="preserve"> </w:t>
      </w:r>
      <w:r w:rsidR="009C6D3C" w:rsidRPr="00FC6F91">
        <w:rPr>
          <w:rFonts w:ascii="Arial" w:eastAsia="Arial" w:hAnsi="Arial" w:cs="Arial"/>
          <w:color w:val="auto"/>
        </w:rPr>
        <w:tab/>
      </w:r>
      <w:r w:rsidR="009C6D3C" w:rsidRPr="00FC6F91">
        <w:rPr>
          <w:color w:val="auto"/>
        </w:rPr>
        <w:t xml:space="preserve">With respect to trial, indicate the following: </w:t>
      </w:r>
    </w:p>
    <w:p w14:paraId="10D2DBEE" w14:textId="044BFD20" w:rsidR="00FC6F91" w:rsidRPr="00FC6F91" w:rsidRDefault="009C6D3C" w:rsidP="00FC6F91">
      <w:pPr>
        <w:spacing w:after="25" w:line="449" w:lineRule="auto"/>
        <w:ind w:left="720" w:right="2389" w:firstLine="710"/>
        <w:rPr>
          <w:color w:val="auto"/>
        </w:rPr>
      </w:pPr>
      <w:r w:rsidRPr="00FC6F91">
        <w:rPr>
          <w:color w:val="auto"/>
        </w:rPr>
        <w:t>1.</w:t>
      </w:r>
      <w:r w:rsidRPr="00FC6F91">
        <w:rPr>
          <w:rFonts w:ascii="Arial" w:eastAsia="Arial" w:hAnsi="Arial" w:cs="Arial"/>
          <w:color w:val="auto"/>
        </w:rPr>
        <w:t xml:space="preserve"> </w:t>
      </w:r>
      <w:r w:rsidR="00FC6F91" w:rsidRPr="00FC6F91">
        <w:rPr>
          <w:rFonts w:ascii="Arial" w:eastAsia="Arial" w:hAnsi="Arial" w:cs="Arial"/>
          <w:color w:val="auto"/>
        </w:rPr>
        <w:tab/>
      </w:r>
      <w:r w:rsidRPr="00FC6F91">
        <w:rPr>
          <w:color w:val="auto"/>
        </w:rPr>
        <w:t xml:space="preserve">Whether a jury trial is requested; and </w:t>
      </w:r>
    </w:p>
    <w:p w14:paraId="5B6CBCC2" w14:textId="723A68EC" w:rsidR="00602426" w:rsidRPr="00FC6F91" w:rsidRDefault="009C6D3C" w:rsidP="00FC6F91">
      <w:pPr>
        <w:spacing w:after="25" w:line="449" w:lineRule="auto"/>
        <w:ind w:left="720" w:right="2389" w:firstLine="710"/>
        <w:rPr>
          <w:color w:val="auto"/>
        </w:rPr>
      </w:pPr>
      <w:r w:rsidRPr="00FC6F91">
        <w:rPr>
          <w:color w:val="auto"/>
        </w:rPr>
        <w:t>2.</w:t>
      </w:r>
      <w:r w:rsidRPr="00FC6F91">
        <w:rPr>
          <w:rFonts w:ascii="Arial" w:eastAsia="Arial" w:hAnsi="Arial" w:cs="Arial"/>
          <w:color w:val="auto"/>
        </w:rPr>
        <w:t xml:space="preserve"> </w:t>
      </w:r>
      <w:r w:rsidR="00FC6F91" w:rsidRPr="00FC6F91">
        <w:rPr>
          <w:rFonts w:ascii="Arial" w:eastAsia="Arial" w:hAnsi="Arial" w:cs="Arial"/>
          <w:color w:val="auto"/>
        </w:rPr>
        <w:tab/>
      </w:r>
      <w:r w:rsidRPr="00FC6F91">
        <w:rPr>
          <w:color w:val="auto"/>
        </w:rPr>
        <w:t xml:space="preserve">The probable length of trial. </w:t>
      </w:r>
    </w:p>
    <w:p w14:paraId="75923670" w14:textId="6A4B995E" w:rsidR="00602426" w:rsidRPr="00FC6F91" w:rsidRDefault="00FC6F91" w:rsidP="00FC6F91">
      <w:pPr>
        <w:spacing w:after="247" w:line="259" w:lineRule="auto"/>
        <w:ind w:right="2"/>
        <w:jc w:val="left"/>
        <w:rPr>
          <w:b/>
          <w:color w:val="auto"/>
        </w:rPr>
      </w:pPr>
      <w:r w:rsidRPr="00FC6F91">
        <w:rPr>
          <w:b/>
          <w:color w:val="auto"/>
        </w:rPr>
        <w:t>VI.</w:t>
      </w:r>
      <w:r w:rsidRPr="00FC6F91">
        <w:rPr>
          <w:b/>
          <w:color w:val="auto"/>
        </w:rPr>
        <w:tab/>
        <w:t xml:space="preserve">Consent and </w:t>
      </w:r>
      <w:r w:rsidR="009C6D3C" w:rsidRPr="00FC6F91">
        <w:rPr>
          <w:b/>
          <w:color w:val="auto"/>
        </w:rPr>
        <w:t>Settlement Discussions</w:t>
      </w:r>
      <w:r w:rsidR="009C6D3C" w:rsidRPr="005C2876">
        <w:rPr>
          <w:b/>
          <w:bCs/>
          <w:color w:val="auto"/>
        </w:rPr>
        <w:t>:</w:t>
      </w:r>
      <w:r w:rsidR="009C6D3C" w:rsidRPr="0027717F">
        <w:rPr>
          <w:b/>
          <w:bCs/>
          <w:color w:val="auto"/>
        </w:rPr>
        <w:t xml:space="preserve"> </w:t>
      </w:r>
    </w:p>
    <w:p w14:paraId="45E7E21C" w14:textId="140D4BB1" w:rsidR="00FC6F91" w:rsidRPr="00FC6F91" w:rsidRDefault="00FC6F91" w:rsidP="005C2876">
      <w:pPr>
        <w:spacing w:after="247" w:line="259" w:lineRule="auto"/>
        <w:ind w:left="1440" w:right="2" w:hanging="720"/>
        <w:rPr>
          <w:color w:val="auto"/>
        </w:rPr>
      </w:pPr>
      <w:r w:rsidRPr="00FC6F91">
        <w:rPr>
          <w:bCs/>
          <w:color w:val="auto"/>
        </w:rPr>
        <w:t>A.</w:t>
      </w:r>
      <w:r w:rsidRPr="00FC6F91">
        <w:rPr>
          <w:b/>
          <w:color w:val="auto"/>
        </w:rPr>
        <w:tab/>
      </w:r>
      <w:r w:rsidRPr="00FC6F91">
        <w:rPr>
          <w:color w:val="auto"/>
        </w:rPr>
        <w:t>The court strongly encourages the parties to consider consenting to the</w:t>
      </w:r>
      <w:r w:rsidR="00D1457C">
        <w:rPr>
          <w:color w:val="auto"/>
        </w:rPr>
        <w:t xml:space="preserve"> </w:t>
      </w:r>
      <w:r w:rsidRPr="00FC6F91">
        <w:rPr>
          <w:color w:val="auto"/>
        </w:rPr>
        <w:t xml:space="preserve">jurisdiction of the </w:t>
      </w:r>
      <w:r w:rsidR="009C6D3C">
        <w:rPr>
          <w:color w:val="auto"/>
        </w:rPr>
        <w:t xml:space="preserve">assigned </w:t>
      </w:r>
      <w:r w:rsidRPr="00FC6F91">
        <w:rPr>
          <w:color w:val="auto"/>
        </w:rPr>
        <w:t xml:space="preserve">Magistrate Judge. </w:t>
      </w:r>
      <w:r w:rsidR="0027717F">
        <w:rPr>
          <w:color w:val="auto"/>
        </w:rPr>
        <w:t xml:space="preserve"> </w:t>
      </w:r>
      <w:r w:rsidRPr="00FC6F91">
        <w:rPr>
          <w:color w:val="auto"/>
        </w:rPr>
        <w:t xml:space="preserve">Confirm that counsel have advised the parties that they may proceed before a Magistrate Judge and state whether all parties </w:t>
      </w:r>
      <w:r w:rsidRPr="00FC6F91">
        <w:rPr>
          <w:color w:val="auto"/>
          <w:u w:val="single"/>
        </w:rPr>
        <w:t>unanimously</w:t>
      </w:r>
      <w:r w:rsidRPr="00FC6F91">
        <w:rPr>
          <w:color w:val="auto"/>
        </w:rPr>
        <w:t xml:space="preserve"> consent to do so.  </w:t>
      </w:r>
    </w:p>
    <w:p w14:paraId="367C11DC" w14:textId="50C5F0F9" w:rsidR="00DA7E90" w:rsidRDefault="00FC6F91" w:rsidP="00466093">
      <w:pPr>
        <w:ind w:left="1440" w:right="4" w:hanging="720"/>
        <w:rPr>
          <w:color w:val="auto"/>
        </w:rPr>
      </w:pPr>
      <w:r w:rsidRPr="00FC6F91">
        <w:rPr>
          <w:color w:val="auto"/>
        </w:rPr>
        <w:t>B.</w:t>
      </w:r>
      <w:r w:rsidRPr="00FC6F91">
        <w:rPr>
          <w:color w:val="auto"/>
        </w:rPr>
        <w:tab/>
      </w:r>
      <w:r w:rsidR="009C6D3C" w:rsidRPr="00FC6F91">
        <w:rPr>
          <w:color w:val="auto"/>
        </w:rPr>
        <w:t>Describe the status of any settlement discussions</w:t>
      </w:r>
      <w:r w:rsidRPr="00FC6F91">
        <w:rPr>
          <w:color w:val="auto"/>
        </w:rPr>
        <w:t xml:space="preserve"> conducted to date (without including the particulars of any demands or offers that have been made) and advise whether the parties mutually request a settlement conference at this time.</w:t>
      </w:r>
    </w:p>
    <w:p w14:paraId="58F2E819" w14:textId="31CE2F5A" w:rsidR="00DA7E90" w:rsidRPr="00D1457C" w:rsidRDefault="00DA7E90" w:rsidP="00D1457C">
      <w:pPr>
        <w:spacing w:after="247" w:line="259" w:lineRule="auto"/>
        <w:ind w:left="720" w:right="0" w:hanging="720"/>
        <w:jc w:val="left"/>
        <w:rPr>
          <w:b/>
          <w:color w:val="auto"/>
        </w:rPr>
      </w:pPr>
      <w:r w:rsidRPr="00FC6F91">
        <w:rPr>
          <w:b/>
          <w:color w:val="auto"/>
        </w:rPr>
        <w:t>VI</w:t>
      </w:r>
      <w:r>
        <w:rPr>
          <w:b/>
          <w:color w:val="auto"/>
        </w:rPr>
        <w:t>I</w:t>
      </w:r>
      <w:r w:rsidRPr="00FC6F91">
        <w:rPr>
          <w:b/>
          <w:color w:val="auto"/>
        </w:rPr>
        <w:t>.</w:t>
      </w:r>
      <w:r w:rsidRPr="00FC6F91">
        <w:rPr>
          <w:b/>
          <w:color w:val="auto"/>
        </w:rPr>
        <w:tab/>
      </w:r>
      <w:r>
        <w:rPr>
          <w:b/>
          <w:color w:val="auto"/>
        </w:rPr>
        <w:t>Other Matters</w:t>
      </w:r>
      <w:r w:rsidRPr="005C2876">
        <w:rPr>
          <w:b/>
          <w:bCs/>
          <w:color w:val="auto"/>
        </w:rPr>
        <w:t>:</w:t>
      </w:r>
      <w:r w:rsidR="00D1457C">
        <w:rPr>
          <w:b/>
          <w:color w:val="auto"/>
        </w:rPr>
        <w:t xml:space="preserve"> </w:t>
      </w:r>
      <w:r w:rsidR="00D1457C">
        <w:rPr>
          <w:color w:val="auto"/>
        </w:rPr>
        <w:t>State any other matters that should be brought to the Court’s attention for scheduling purposes.</w:t>
      </w:r>
    </w:p>
    <w:sectPr w:rsidR="00DA7E90" w:rsidRPr="00D1457C">
      <w:footnotePr>
        <w:numRestart w:val="eachPage"/>
      </w:footnotePr>
      <w:pgSz w:w="12240" w:h="15840"/>
      <w:pgMar w:top="1501" w:right="1427" w:bottom="143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5F946" w14:textId="77777777" w:rsidR="009C6D3C" w:rsidRDefault="009C6D3C">
      <w:pPr>
        <w:spacing w:after="0" w:line="240" w:lineRule="auto"/>
      </w:pPr>
      <w:r>
        <w:separator/>
      </w:r>
    </w:p>
  </w:endnote>
  <w:endnote w:type="continuationSeparator" w:id="0">
    <w:p w14:paraId="3A1A398C" w14:textId="77777777" w:rsidR="009C6D3C" w:rsidRDefault="009C6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7A143" w14:textId="77777777" w:rsidR="00602426" w:rsidRDefault="009C6D3C">
      <w:pPr>
        <w:spacing w:after="0" w:line="263" w:lineRule="auto"/>
        <w:ind w:left="0" w:right="0" w:firstLine="0"/>
      </w:pPr>
      <w:r>
        <w:separator/>
      </w:r>
    </w:p>
  </w:footnote>
  <w:footnote w:type="continuationSeparator" w:id="0">
    <w:p w14:paraId="34D0859A" w14:textId="77777777" w:rsidR="00602426" w:rsidRDefault="009C6D3C">
      <w:pPr>
        <w:spacing w:after="0" w:line="263" w:lineRule="auto"/>
        <w:ind w:left="0" w:right="0" w:firstLine="0"/>
      </w:pPr>
      <w:r>
        <w:continuationSeparator/>
      </w:r>
    </w:p>
  </w:footnote>
  <w:footnote w:id="1">
    <w:p w14:paraId="3B0F30E1" w14:textId="77777777" w:rsidR="00602426" w:rsidRPr="00FC6F91" w:rsidRDefault="009C6D3C">
      <w:pPr>
        <w:pStyle w:val="footnotedescription"/>
        <w:rPr>
          <w:sz w:val="22"/>
        </w:rPr>
      </w:pPr>
      <w:r w:rsidRPr="00FC6F91">
        <w:rPr>
          <w:rStyle w:val="footnotemark"/>
          <w:sz w:val="22"/>
        </w:rPr>
        <w:footnoteRef/>
      </w:r>
      <w:r w:rsidRPr="00FC6F91">
        <w:rPr>
          <w:sz w:val="22"/>
        </w:rPr>
        <w:t xml:space="preserve"> For patent cases, the proposed schedule should follow the schedule set forth in the Local Patent Rules.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F141F8"/>
    <w:multiLevelType w:val="hybridMultilevel"/>
    <w:tmpl w:val="104A2730"/>
    <w:lvl w:ilvl="0" w:tplc="B14ADEBA">
      <w:start w:val="2"/>
      <w:numFmt w:val="upperRoman"/>
      <w:lvlText w:val="%1."/>
      <w:lvlJc w:val="left"/>
      <w:pPr>
        <w:ind w:left="17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5AC287C">
      <w:start w:val="1"/>
      <w:numFmt w:val="upperLetter"/>
      <w:lvlText w:val="%2."/>
      <w:lvlJc w:val="left"/>
      <w:pPr>
        <w:ind w:left="2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EAFCCC">
      <w:start w:val="1"/>
      <w:numFmt w:val="decimal"/>
      <w:lvlText w:val="%3."/>
      <w:lvlJc w:val="left"/>
      <w:pPr>
        <w:ind w:left="30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EEBC70">
      <w:start w:val="1"/>
      <w:numFmt w:val="decimal"/>
      <w:lvlText w:val="%4"/>
      <w:lvlJc w:val="left"/>
      <w:pPr>
        <w:ind w:left="3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F81F76">
      <w:start w:val="1"/>
      <w:numFmt w:val="lowerLetter"/>
      <w:lvlText w:val="%5"/>
      <w:lvlJc w:val="left"/>
      <w:pPr>
        <w:ind w:left="4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C428A2">
      <w:start w:val="1"/>
      <w:numFmt w:val="lowerRoman"/>
      <w:lvlText w:val="%6"/>
      <w:lvlJc w:val="left"/>
      <w:pPr>
        <w:ind w:left="4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CABCC2">
      <w:start w:val="1"/>
      <w:numFmt w:val="decimal"/>
      <w:lvlText w:val="%7"/>
      <w:lvlJc w:val="left"/>
      <w:pPr>
        <w:ind w:left="5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3281B2">
      <w:start w:val="1"/>
      <w:numFmt w:val="lowerLetter"/>
      <w:lvlText w:val="%8"/>
      <w:lvlJc w:val="left"/>
      <w:pPr>
        <w:ind w:left="6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5EFC00">
      <w:start w:val="1"/>
      <w:numFmt w:val="lowerRoman"/>
      <w:lvlText w:val="%9"/>
      <w:lvlJc w:val="left"/>
      <w:pPr>
        <w:ind w:left="7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1B1509E"/>
    <w:multiLevelType w:val="hybridMultilevel"/>
    <w:tmpl w:val="27683B3C"/>
    <w:lvl w:ilvl="0" w:tplc="EBF24178">
      <w:start w:val="1"/>
      <w:numFmt w:val="upperLetter"/>
      <w:lvlText w:val="%1."/>
      <w:lvlJc w:val="left"/>
      <w:pPr>
        <w:ind w:left="2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BE93BC">
      <w:start w:val="1"/>
      <w:numFmt w:val="lowerLetter"/>
      <w:lvlText w:val="%2"/>
      <w:lvlJc w:val="left"/>
      <w:pPr>
        <w:ind w:left="2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D8A2E6">
      <w:start w:val="1"/>
      <w:numFmt w:val="lowerRoman"/>
      <w:lvlText w:val="%3"/>
      <w:lvlJc w:val="left"/>
      <w:pPr>
        <w:ind w:left="3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525224">
      <w:start w:val="1"/>
      <w:numFmt w:val="decimal"/>
      <w:lvlText w:val="%4"/>
      <w:lvlJc w:val="left"/>
      <w:pPr>
        <w:ind w:left="4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625A02">
      <w:start w:val="1"/>
      <w:numFmt w:val="lowerLetter"/>
      <w:lvlText w:val="%5"/>
      <w:lvlJc w:val="left"/>
      <w:pPr>
        <w:ind w:left="4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14136A">
      <w:start w:val="1"/>
      <w:numFmt w:val="lowerRoman"/>
      <w:lvlText w:val="%6"/>
      <w:lvlJc w:val="left"/>
      <w:pPr>
        <w:ind w:left="5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F8E962">
      <w:start w:val="1"/>
      <w:numFmt w:val="decimal"/>
      <w:lvlText w:val="%7"/>
      <w:lvlJc w:val="left"/>
      <w:pPr>
        <w:ind w:left="6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DAF2C6">
      <w:start w:val="1"/>
      <w:numFmt w:val="lowerLetter"/>
      <w:lvlText w:val="%8"/>
      <w:lvlJc w:val="left"/>
      <w:pPr>
        <w:ind w:left="7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A60A8C">
      <w:start w:val="1"/>
      <w:numFmt w:val="lowerRoman"/>
      <w:lvlText w:val="%9"/>
      <w:lvlJc w:val="left"/>
      <w:pPr>
        <w:ind w:left="7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2073504215">
    <w:abstractNumId w:val="1"/>
  </w:num>
  <w:num w:numId="2" w16cid:durableId="1267469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426"/>
    <w:rsid w:val="000360D5"/>
    <w:rsid w:val="000C2987"/>
    <w:rsid w:val="001F381C"/>
    <w:rsid w:val="0027717F"/>
    <w:rsid w:val="003D27FD"/>
    <w:rsid w:val="00466093"/>
    <w:rsid w:val="005C2876"/>
    <w:rsid w:val="00602426"/>
    <w:rsid w:val="00640D25"/>
    <w:rsid w:val="0065627F"/>
    <w:rsid w:val="006C01D1"/>
    <w:rsid w:val="006D6EFE"/>
    <w:rsid w:val="0077438D"/>
    <w:rsid w:val="007C0A0A"/>
    <w:rsid w:val="0082051B"/>
    <w:rsid w:val="00890970"/>
    <w:rsid w:val="009C6D3C"/>
    <w:rsid w:val="00BA0DC0"/>
    <w:rsid w:val="00CA4169"/>
    <w:rsid w:val="00D1457C"/>
    <w:rsid w:val="00DA7E90"/>
    <w:rsid w:val="00F45F41"/>
    <w:rsid w:val="00FC6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6C844"/>
  <w15:docId w15:val="{9A94CB09-F412-41E9-8D70-A9279BC9A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54" w:line="249" w:lineRule="auto"/>
      <w:ind w:left="10" w:right="12"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line="263" w:lineRule="auto"/>
      <w:jc w:val="both"/>
    </w:pPr>
    <w:rPr>
      <w:rFonts w:ascii="Times New Roman" w:eastAsia="Times New Roman" w:hAnsi="Times New Roman" w:cs="Times New Roman"/>
      <w:color w:val="000000"/>
      <w:sz w:val="24"/>
    </w:rPr>
  </w:style>
  <w:style w:type="character" w:customStyle="1" w:styleId="footnotedescriptionChar">
    <w:name w:val="footnote description Char"/>
    <w:link w:val="footnotedescription"/>
    <w:rPr>
      <w:rFonts w:ascii="Times New Roman" w:eastAsia="Times New Roman" w:hAnsi="Times New Roman" w:cs="Times New Roman"/>
      <w:color w:val="000000"/>
      <w:sz w:val="24"/>
    </w:rPr>
  </w:style>
  <w:style w:type="character" w:customStyle="1" w:styleId="footnotemark">
    <w:name w:val="footnote mark"/>
    <w:hidden/>
    <w:rPr>
      <w:rFonts w:ascii="Times New Roman" w:eastAsia="Times New Roman" w:hAnsi="Times New Roman" w:cs="Times New Roman"/>
      <w:color w:val="000000"/>
      <w:sz w:val="24"/>
      <w:vertAlign w:val="superscript"/>
    </w:rPr>
  </w:style>
  <w:style w:type="paragraph" w:styleId="Revision">
    <w:name w:val="Revision"/>
    <w:hidden/>
    <w:uiPriority w:val="99"/>
    <w:semiHidden/>
    <w:rsid w:val="00890970"/>
    <w:pPr>
      <w:spacing w:after="0" w:line="240" w:lineRule="auto"/>
    </w:pPr>
    <w:rPr>
      <w:rFonts w:ascii="Times New Roman" w:eastAsia="Times New Roman" w:hAnsi="Times New Roman" w:cs="Times New Roman"/>
      <w:color w:val="000000"/>
      <w:sz w:val="24"/>
    </w:rPr>
  </w:style>
  <w:style w:type="character" w:styleId="Hyperlink">
    <w:name w:val="Hyperlink"/>
    <w:basedOn w:val="DefaultParagraphFont"/>
    <w:uiPriority w:val="99"/>
    <w:unhideWhenUsed/>
    <w:rsid w:val="0027717F"/>
    <w:rPr>
      <w:color w:val="0563C1" w:themeColor="hyperlink"/>
      <w:u w:val="single"/>
    </w:rPr>
  </w:style>
  <w:style w:type="character" w:styleId="UnresolvedMention">
    <w:name w:val="Unresolved Mention"/>
    <w:basedOn w:val="DefaultParagraphFont"/>
    <w:uiPriority w:val="99"/>
    <w:semiHidden/>
    <w:unhideWhenUsed/>
    <w:rsid w:val="0027717F"/>
    <w:rPr>
      <w:color w:val="605E5C"/>
      <w:shd w:val="clear" w:color="auto" w:fill="E1DFDD"/>
    </w:rPr>
  </w:style>
  <w:style w:type="character" w:styleId="CommentReference">
    <w:name w:val="annotation reference"/>
    <w:basedOn w:val="DefaultParagraphFont"/>
    <w:uiPriority w:val="99"/>
    <w:semiHidden/>
    <w:unhideWhenUsed/>
    <w:rsid w:val="0027717F"/>
    <w:rPr>
      <w:sz w:val="16"/>
      <w:szCs w:val="16"/>
    </w:rPr>
  </w:style>
  <w:style w:type="paragraph" w:styleId="CommentText">
    <w:name w:val="annotation text"/>
    <w:basedOn w:val="Normal"/>
    <w:link w:val="CommentTextChar"/>
    <w:uiPriority w:val="99"/>
    <w:unhideWhenUsed/>
    <w:rsid w:val="0027717F"/>
    <w:pPr>
      <w:spacing w:line="240" w:lineRule="auto"/>
    </w:pPr>
    <w:rPr>
      <w:sz w:val="20"/>
      <w:szCs w:val="20"/>
    </w:rPr>
  </w:style>
  <w:style w:type="character" w:customStyle="1" w:styleId="CommentTextChar">
    <w:name w:val="Comment Text Char"/>
    <w:basedOn w:val="DefaultParagraphFont"/>
    <w:link w:val="CommentText"/>
    <w:uiPriority w:val="99"/>
    <w:rsid w:val="0027717F"/>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27717F"/>
    <w:rPr>
      <w:b/>
      <w:bCs/>
    </w:rPr>
  </w:style>
  <w:style w:type="character" w:customStyle="1" w:styleId="CommentSubjectChar">
    <w:name w:val="Comment Subject Char"/>
    <w:basedOn w:val="CommentTextChar"/>
    <w:link w:val="CommentSubject"/>
    <w:uiPriority w:val="99"/>
    <w:semiHidden/>
    <w:rsid w:val="0027717F"/>
    <w:rPr>
      <w:rFonts w:ascii="Times New Roman" w:eastAsia="Times New Roman" w:hAnsi="Times New Roman" w:cs="Times New Roman"/>
      <w:b/>
      <w:bCs/>
      <w:color w:val="000000"/>
      <w:sz w:val="20"/>
      <w:szCs w:val="20"/>
    </w:rPr>
  </w:style>
  <w:style w:type="character" w:styleId="FollowedHyperlink">
    <w:name w:val="FollowedHyperlink"/>
    <w:basedOn w:val="DefaultParagraphFont"/>
    <w:uiPriority w:val="99"/>
    <w:semiHidden/>
    <w:unhideWhenUsed/>
    <w:rsid w:val="005C28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Standard%20Litigation%20Proposed%20ESI%20Order%20-%20DJ.docx" TargetMode="External"/><Relationship Id="rId3" Type="http://schemas.openxmlformats.org/officeDocument/2006/relationships/settings" Target="settings.xml"/><Relationship Id="rId7" Type="http://schemas.openxmlformats.org/officeDocument/2006/relationships/hyperlink" Target="https://www.ilnd.uscourts.gov/_assets/_news/General%20Order%2012-0018%20-%20Form%20LR26.2%20Model%20Confidentiality%20Order.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lnd.uscourts.gov/_assets/_documents/_rules/FINAL%20CLEAN%20Approved%20e%20discovery%20rul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788</Words>
  <Characters>4655</Characters>
  <Application>Microsoft Office Word</Application>
  <DocSecurity>0</DocSecurity>
  <Lines>160</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Seolhyeong Dayagdag</dc:creator>
  <cp:keywords/>
  <cp:lastModifiedBy>Margaret Lipman</cp:lastModifiedBy>
  <cp:revision>4</cp:revision>
  <dcterms:created xsi:type="dcterms:W3CDTF">2024-04-01T20:47:00Z</dcterms:created>
  <dcterms:modified xsi:type="dcterms:W3CDTF">2024-04-25T13:10:00Z</dcterms:modified>
</cp:coreProperties>
</file>